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657646" w:rsidRPr="00E46E3E" w:rsidRDefault="00582185" w:rsidP="00E46E3E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582185">
        <w:rPr>
          <w:rFonts w:ascii="Calibri" w:hAnsi="Calibri" w:cs="Calibri"/>
          <w:b/>
          <w:bCs/>
          <w:i/>
          <w:iCs/>
        </w:rPr>
        <w:t>Opracowanie dokumentacji technicznej dla zadania pn. „Przebudowa drogi powiatowej nr 1294R ul. Jana Pawła II w Dębicy – budowa ciągu pieszo – rowerowego w k m1+336 – 2+285”</w:t>
      </w: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Wykonanie materiałów do zgłoszenia robót budowlanych nie wymagających pozwolenia </w:t>
      </w:r>
      <w:r w:rsidRPr="00E46E3E">
        <w:rPr>
          <w:rFonts w:ascii="Calibri" w:hAnsi="Calibri" w:cs="Calibri"/>
          <w:bCs/>
          <w:iCs/>
          <w:lang w:val="x-none" w:eastAsia="x-none"/>
        </w:rPr>
        <w:t xml:space="preserve">na budowę, projektu wykonawczego oraz materiałów przetargowych w ramach zadania pn.: </w:t>
      </w:r>
      <w:r w:rsidR="00582185">
        <w:rPr>
          <w:rFonts w:ascii="Calibri" w:hAnsi="Calibri" w:cs="Calibri"/>
          <w:b/>
          <w:bCs/>
          <w:iCs/>
          <w:lang w:eastAsia="x-none"/>
        </w:rPr>
        <w:t xml:space="preserve"> </w:t>
      </w:r>
      <w:r w:rsidR="00582185" w:rsidRPr="00582185">
        <w:rPr>
          <w:rFonts w:ascii="Calibri" w:hAnsi="Calibri" w:cs="Calibri"/>
          <w:b/>
          <w:bCs/>
          <w:iCs/>
          <w:lang w:val="x-none" w:eastAsia="x-none"/>
        </w:rPr>
        <w:t>„Przebudowa drogi powiatowej nr 1294R ul. Jana Pawła II w Dębicy – budowa ciągu pieszo – rowerowego w k m1+336 – 2+285</w:t>
      </w:r>
      <w:r w:rsidRPr="00E46E3E">
        <w:rPr>
          <w:rFonts w:ascii="Calibri" w:hAnsi="Calibri" w:cs="Calibri"/>
          <w:b/>
          <w:bCs/>
          <w:i/>
          <w:iCs/>
          <w:lang w:val="x-none" w:eastAsia="x-none"/>
        </w:rPr>
        <w:t>”</w:t>
      </w:r>
      <w:r w:rsidRPr="00E46E3E">
        <w:rPr>
          <w:rFonts w:ascii="Calibri" w:hAnsi="Calibri" w:cs="Calibri"/>
          <w:bCs/>
          <w:iCs/>
          <w:lang w:val="x-none" w:eastAsia="x-none"/>
        </w:rPr>
        <w:t>, wraz z pełnieniem nadzoru autorskiego w trakcie wykonywania robót budowlanych.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color w:val="FF0000"/>
          <w:lang w:val="x-none" w:eastAsia="x-none"/>
        </w:rPr>
      </w:pPr>
    </w:p>
    <w:p w:rsidR="00E46E3E" w:rsidRPr="00E46E3E" w:rsidRDefault="00E46E3E" w:rsidP="006F02A8">
      <w:pPr>
        <w:numPr>
          <w:ilvl w:val="0"/>
          <w:numId w:val="26"/>
        </w:numPr>
        <w:spacing w:line="300" w:lineRule="atLeast"/>
        <w:ind w:left="567" w:hanging="567"/>
        <w:jc w:val="both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Istniejący stan zagospodarowania terenu:</w:t>
      </w:r>
    </w:p>
    <w:p w:rsidR="00582185" w:rsidRPr="00FD20E3" w:rsidRDefault="00582185" w:rsidP="006F02A8">
      <w:pPr>
        <w:numPr>
          <w:ilvl w:val="0"/>
          <w:numId w:val="20"/>
        </w:numPr>
        <w:tabs>
          <w:tab w:val="left" w:pos="1134"/>
        </w:tabs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 w:rsidRPr="00FD20E3">
        <w:rPr>
          <w:rFonts w:ascii="Calibri" w:hAnsi="Calibri" w:cs="Calibri"/>
          <w:iCs/>
        </w:rPr>
        <w:t>klasa drogi – Z</w:t>
      </w:r>
    </w:p>
    <w:p w:rsidR="00582185" w:rsidRPr="00FD20E3" w:rsidRDefault="00582185" w:rsidP="006F02A8">
      <w:pPr>
        <w:numPr>
          <w:ilvl w:val="0"/>
          <w:numId w:val="20"/>
        </w:numPr>
        <w:tabs>
          <w:tab w:val="left" w:pos="1134"/>
        </w:tabs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 w:rsidRPr="00FD20E3">
        <w:rPr>
          <w:rFonts w:ascii="Calibri" w:hAnsi="Calibri" w:cs="Calibri"/>
          <w:iCs/>
        </w:rPr>
        <w:t xml:space="preserve">jezdnia </w:t>
      </w:r>
      <w:r>
        <w:rPr>
          <w:rFonts w:ascii="Calibri" w:hAnsi="Calibri" w:cs="Calibri"/>
          <w:iCs/>
        </w:rPr>
        <w:t>główna o szer. średnio 8,50 m - 10,00m</w:t>
      </w:r>
      <w:r w:rsidRPr="00FD20E3">
        <w:rPr>
          <w:rFonts w:ascii="Calibri" w:hAnsi="Calibri" w:cs="Calibri"/>
          <w:iCs/>
        </w:rPr>
        <w:t>, dwukierunkowa, dwupasowa o jednym pasie ruchu w każdym kierunku</w:t>
      </w:r>
      <w:r>
        <w:rPr>
          <w:rFonts w:ascii="Calibri" w:hAnsi="Calibri" w:cs="Calibri"/>
          <w:iCs/>
        </w:rPr>
        <w:t xml:space="preserve"> (lokalnie dodatkowy pas postojowy na początkowym odcinku opracowania)</w:t>
      </w:r>
      <w:r w:rsidRPr="00FD20E3">
        <w:rPr>
          <w:rFonts w:ascii="Calibri" w:hAnsi="Calibri" w:cs="Calibri"/>
          <w:iCs/>
        </w:rPr>
        <w:t>;</w:t>
      </w:r>
    </w:p>
    <w:p w:rsidR="00582185" w:rsidRDefault="00582185" w:rsidP="006F02A8">
      <w:pPr>
        <w:numPr>
          <w:ilvl w:val="0"/>
          <w:numId w:val="20"/>
        </w:numPr>
        <w:tabs>
          <w:tab w:val="left" w:pos="1134"/>
        </w:tabs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prawostronny chodnik o zmiennej szerokości (lokalnie oddzielony od jezdni pasem zieleni);</w:t>
      </w:r>
    </w:p>
    <w:p w:rsidR="00E46E3E" w:rsidRPr="00E46E3E" w:rsidRDefault="00582185" w:rsidP="006F02A8">
      <w:pPr>
        <w:numPr>
          <w:ilvl w:val="0"/>
          <w:numId w:val="20"/>
        </w:numPr>
        <w:tabs>
          <w:tab w:val="left" w:pos="1134"/>
        </w:tabs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 w:rsidRPr="00FD20E3">
        <w:rPr>
          <w:rFonts w:ascii="Calibri" w:hAnsi="Calibri" w:cs="Calibri"/>
          <w:iCs/>
        </w:rPr>
        <w:lastRenderedPageBreak/>
        <w:t xml:space="preserve">informacje dot. istniejących elementów zagospodarowania terenu </w:t>
      </w:r>
      <w:r w:rsidR="00E46E3E" w:rsidRPr="00E46E3E">
        <w:rPr>
          <w:rFonts w:ascii="Calibri" w:hAnsi="Calibri" w:cs="Calibri"/>
          <w:iCs/>
        </w:rPr>
        <w:t xml:space="preserve">(obiektów oraz sieci) można uzyskać na stronie internetowej </w:t>
      </w:r>
      <w:proofErr w:type="spellStart"/>
      <w:r w:rsidR="00E46E3E" w:rsidRPr="00E46E3E">
        <w:rPr>
          <w:rFonts w:ascii="Calibri" w:hAnsi="Calibri" w:cs="Calibri"/>
          <w:b/>
          <w:iCs/>
        </w:rPr>
        <w:t>Geoportalu</w:t>
      </w:r>
      <w:proofErr w:type="spellEnd"/>
      <w:r w:rsidR="00E46E3E" w:rsidRPr="00E46E3E">
        <w:rPr>
          <w:rFonts w:ascii="Calibri" w:hAnsi="Calibri" w:cs="Calibri"/>
          <w:b/>
          <w:iCs/>
        </w:rPr>
        <w:t xml:space="preserve"> Powiatu Dębickiego</w:t>
      </w:r>
      <w:r w:rsidR="00E46E3E" w:rsidRPr="00E46E3E">
        <w:rPr>
          <w:rFonts w:ascii="Calibri" w:hAnsi="Calibri" w:cs="Calibri"/>
          <w:iCs/>
        </w:rPr>
        <w:t xml:space="preserve"> pod adresem: </w:t>
      </w:r>
      <w:hyperlink r:id="rId8" w:history="1">
        <w:r w:rsidR="00E46E3E" w:rsidRPr="00E46E3E">
          <w:rPr>
            <w:rFonts w:ascii="Calibri" w:hAnsi="Calibri" w:cs="Calibri"/>
            <w:i/>
            <w:iCs/>
            <w:color w:val="0000FF"/>
            <w:u w:val="single"/>
          </w:rPr>
          <w:t>http://debica.geoportal2.pl</w:t>
        </w:r>
      </w:hyperlink>
      <w:r w:rsidR="00E46E3E" w:rsidRPr="00E46E3E">
        <w:rPr>
          <w:rFonts w:ascii="Calibri" w:hAnsi="Calibri" w:cs="Calibri"/>
          <w:iCs/>
        </w:rPr>
        <w:t xml:space="preserve"> </w:t>
      </w:r>
    </w:p>
    <w:p w:rsidR="00E46E3E" w:rsidRPr="00E46E3E" w:rsidRDefault="00E46E3E" w:rsidP="006F02A8">
      <w:pPr>
        <w:tabs>
          <w:tab w:val="left" w:pos="1134"/>
        </w:tabs>
        <w:spacing w:line="300" w:lineRule="atLeast"/>
        <w:ind w:left="567" w:hanging="567"/>
        <w:jc w:val="both"/>
        <w:rPr>
          <w:rFonts w:ascii="Calibri" w:hAnsi="Calibri" w:cs="Calibri"/>
          <w:iCs/>
          <w:highlight w:val="yellow"/>
        </w:rPr>
      </w:pPr>
    </w:p>
    <w:p w:rsidR="00E46E3E" w:rsidRPr="00E46E3E" w:rsidRDefault="00E46E3E" w:rsidP="006F02A8">
      <w:pPr>
        <w:numPr>
          <w:ilvl w:val="0"/>
          <w:numId w:val="26"/>
        </w:numPr>
        <w:spacing w:line="300" w:lineRule="atLeast"/>
        <w:ind w:left="567" w:hanging="567"/>
        <w:jc w:val="both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Parametry techniczne do projektowania:</w:t>
      </w:r>
    </w:p>
    <w:p w:rsidR="00E46E3E" w:rsidRPr="00E46E3E" w:rsidRDefault="00E46E3E" w:rsidP="006F02A8">
      <w:pPr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Dokumentację projektową należy opracować przy następujących założeniach:</w:t>
      </w:r>
    </w:p>
    <w:p w:rsidR="00E46E3E" w:rsidRPr="00E46E3E" w:rsidRDefault="00E46E3E" w:rsidP="006F02A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Zadanie projektowe będzie realizowane w trybie </w:t>
      </w:r>
      <w:r w:rsidRPr="00E46E3E">
        <w:rPr>
          <w:rFonts w:ascii="Calibri" w:hAnsi="Calibri" w:cs="Calibri"/>
          <w:b/>
          <w:iCs/>
          <w:lang w:val="x-none" w:eastAsia="x-none"/>
        </w:rPr>
        <w:t>zgłoszenia robót budowlanych niewymagających pozwolenia na budowę</w:t>
      </w:r>
      <w:r w:rsidRPr="00E46E3E">
        <w:rPr>
          <w:rFonts w:ascii="Calibri" w:hAnsi="Calibri" w:cs="Calibri"/>
          <w:iCs/>
          <w:lang w:val="x-none" w:eastAsia="x-none"/>
        </w:rPr>
        <w:t>.</w:t>
      </w:r>
    </w:p>
    <w:p w:rsidR="00E46E3E" w:rsidRPr="00E46E3E" w:rsidRDefault="00E46E3E" w:rsidP="006F02A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Wymagania dot. projektowanej przebudowy:</w:t>
      </w:r>
    </w:p>
    <w:p w:rsidR="00582185" w:rsidRDefault="00582185" w:rsidP="006F02A8">
      <w:pPr>
        <w:numPr>
          <w:ilvl w:val="0"/>
          <w:numId w:val="23"/>
        </w:numPr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lokalizacja ciągu pieszo – rowerowego: prawostronnie, w miejscu istniejącego chodnika oraz pasa zieleni, w granicy pasa drogowego;</w:t>
      </w:r>
    </w:p>
    <w:p w:rsidR="00E46E3E" w:rsidRPr="00E46E3E" w:rsidRDefault="00582185" w:rsidP="006F02A8">
      <w:pPr>
        <w:numPr>
          <w:ilvl w:val="0"/>
          <w:numId w:val="23"/>
        </w:numPr>
        <w:tabs>
          <w:tab w:val="left" w:pos="1134"/>
        </w:tabs>
        <w:spacing w:line="300" w:lineRule="atLeast"/>
        <w:ind w:left="567" w:hanging="28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przebudowa istniejącej infrastruktury technicznej w niezbędnym zakresie</w:t>
      </w:r>
      <w:r>
        <w:rPr>
          <w:rFonts w:ascii="Calibri" w:hAnsi="Calibri" w:cs="Calibri"/>
          <w:iCs/>
        </w:rPr>
        <w:t>.</w:t>
      </w:r>
    </w:p>
    <w:p w:rsidR="00E46E3E" w:rsidRPr="00E46E3E" w:rsidRDefault="00E46E3E" w:rsidP="006F02A8">
      <w:pPr>
        <w:tabs>
          <w:tab w:val="left" w:pos="1134"/>
        </w:tabs>
        <w:spacing w:line="300" w:lineRule="atLeast"/>
        <w:ind w:left="567" w:hanging="567"/>
        <w:jc w:val="both"/>
        <w:rPr>
          <w:rFonts w:ascii="Calibri" w:hAnsi="Calibri" w:cs="Calibri"/>
          <w:iCs/>
        </w:rPr>
      </w:pPr>
    </w:p>
    <w:p w:rsidR="00E46E3E" w:rsidRPr="00E46E3E" w:rsidRDefault="00E46E3E" w:rsidP="006F02A8">
      <w:pPr>
        <w:numPr>
          <w:ilvl w:val="0"/>
          <w:numId w:val="26"/>
        </w:numPr>
        <w:spacing w:line="300" w:lineRule="atLeast"/>
        <w:ind w:left="567" w:hanging="567"/>
        <w:jc w:val="both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Rzeczowy zakres dokumentacji projektowej.</w:t>
      </w:r>
    </w:p>
    <w:p w:rsidR="00582185" w:rsidRPr="0032374B" w:rsidRDefault="00582185" w:rsidP="006F02A8">
      <w:pPr>
        <w:pStyle w:val="Akapitzlist"/>
        <w:numPr>
          <w:ilvl w:val="0"/>
          <w:numId w:val="15"/>
        </w:numPr>
        <w:ind w:left="567" w:hanging="283"/>
        <w:jc w:val="both"/>
        <w:rPr>
          <w:rFonts w:cs="Calibri"/>
          <w:sz w:val="24"/>
          <w:szCs w:val="24"/>
        </w:rPr>
      </w:pPr>
      <w:r w:rsidRPr="0032374B">
        <w:rPr>
          <w:rFonts w:cs="Calibri"/>
          <w:sz w:val="24"/>
          <w:szCs w:val="24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32374B">
        <w:rPr>
          <w:rFonts w:cs="Calibri"/>
          <w:sz w:val="24"/>
          <w:szCs w:val="24"/>
        </w:rPr>
        <w:t>dwg</w:t>
      </w:r>
      <w:proofErr w:type="spellEnd"/>
      <w:r w:rsidRPr="0032374B">
        <w:rPr>
          <w:rFonts w:cs="Calibri"/>
          <w:sz w:val="24"/>
          <w:szCs w:val="24"/>
        </w:rPr>
        <w:t xml:space="preserve"> + egzemplarze wymagane prawem];</w:t>
      </w:r>
    </w:p>
    <w:p w:rsidR="00582185" w:rsidRPr="00A024D8" w:rsidRDefault="00582185" w:rsidP="006F02A8">
      <w:pPr>
        <w:pStyle w:val="Akapitzlist"/>
        <w:numPr>
          <w:ilvl w:val="0"/>
          <w:numId w:val="15"/>
        </w:numPr>
        <w:ind w:left="567" w:hanging="283"/>
        <w:jc w:val="both"/>
        <w:rPr>
          <w:rFonts w:cs="Calibri"/>
          <w:sz w:val="24"/>
          <w:szCs w:val="24"/>
        </w:rPr>
      </w:pPr>
      <w:r w:rsidRPr="00A024D8">
        <w:rPr>
          <w:rFonts w:cs="Calibri"/>
          <w:sz w:val="24"/>
          <w:szCs w:val="24"/>
        </w:rPr>
        <w:t>Kopia ostatecznej wersji operatu wodno-prawnego wraz z kopią składanego do uzgodnień wniosku [1 egzemplarz + wersja elektroniczna w formacie .pdf]</w:t>
      </w:r>
      <w:r>
        <w:rPr>
          <w:rFonts w:cs="Calibri"/>
          <w:sz w:val="24"/>
          <w:szCs w:val="24"/>
        </w:rPr>
        <w:t xml:space="preserve"> – w </w:t>
      </w:r>
      <w:r w:rsidRPr="00A024D8">
        <w:rPr>
          <w:rFonts w:cs="Calibri"/>
          <w:sz w:val="24"/>
          <w:szCs w:val="24"/>
        </w:rPr>
        <w:t>przypadku, gdy jest on wymagany przepisami prawa;</w:t>
      </w:r>
    </w:p>
    <w:p w:rsidR="00582185" w:rsidRPr="0032374B" w:rsidRDefault="00582185" w:rsidP="006F02A8">
      <w:pPr>
        <w:pStyle w:val="Akapitzlist"/>
        <w:numPr>
          <w:ilvl w:val="0"/>
          <w:numId w:val="15"/>
        </w:numPr>
        <w:ind w:left="567" w:hanging="283"/>
        <w:jc w:val="both"/>
        <w:rPr>
          <w:rFonts w:cs="Calibri"/>
          <w:sz w:val="24"/>
          <w:szCs w:val="24"/>
        </w:rPr>
      </w:pPr>
      <w:r w:rsidRPr="0032374B">
        <w:rPr>
          <w:rFonts w:cs="Calibri"/>
          <w:sz w:val="24"/>
          <w:szCs w:val="24"/>
        </w:rPr>
        <w:t>Koncepcj</w:t>
      </w:r>
      <w:r>
        <w:rPr>
          <w:rFonts w:cs="Calibri"/>
          <w:sz w:val="24"/>
          <w:szCs w:val="24"/>
        </w:rPr>
        <w:t xml:space="preserve">a </w:t>
      </w:r>
      <w:r w:rsidRPr="0032374B">
        <w:rPr>
          <w:rFonts w:cs="Calibri"/>
          <w:sz w:val="24"/>
          <w:szCs w:val="24"/>
        </w:rPr>
        <w:t>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powierzchnią)];</w:t>
      </w:r>
    </w:p>
    <w:p w:rsidR="00582185" w:rsidRPr="006F02A8" w:rsidRDefault="00582185" w:rsidP="006F02A8">
      <w:pPr>
        <w:pStyle w:val="Akapitzlist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374B">
        <w:rPr>
          <w:rFonts w:cs="Calibri"/>
          <w:sz w:val="24"/>
          <w:szCs w:val="24"/>
        </w:rPr>
        <w:t>Materiały do zgłoszenia robót budowlanych nie wymagających pozwolenia na budowę</w:t>
      </w:r>
      <w:r w:rsidRPr="0032374B">
        <w:rPr>
          <w:rFonts w:cs="Calibri"/>
          <w:color w:val="00B050"/>
          <w:sz w:val="24"/>
          <w:szCs w:val="24"/>
        </w:rPr>
        <w:t xml:space="preserve"> </w:t>
      </w:r>
      <w:r w:rsidRPr="0032374B">
        <w:rPr>
          <w:rFonts w:cs="Calibri"/>
          <w:sz w:val="24"/>
          <w:szCs w:val="24"/>
        </w:rPr>
        <w:t xml:space="preserve">wraz z niezbędnymi decyzjami, uzgodnieniami i opiniami [1 egzemplarz dla Zamawiającego w formie papierowej +  wersja elektroniczna w formacie .pdf </w:t>
      </w:r>
      <w:r w:rsidRPr="006F02A8">
        <w:rPr>
          <w:rFonts w:asciiTheme="minorHAnsi" w:hAnsiTheme="minorHAnsi" w:cstheme="minorHAnsi"/>
          <w:sz w:val="24"/>
          <w:szCs w:val="24"/>
        </w:rPr>
        <w:t>+ egzemplarze wymagane prawem];</w:t>
      </w:r>
    </w:p>
    <w:p w:rsidR="00582185" w:rsidRPr="006F02A8" w:rsidRDefault="00582185" w:rsidP="006F02A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F02A8">
        <w:rPr>
          <w:rFonts w:asciiTheme="minorHAnsi" w:hAnsiTheme="minorHAnsi" w:cstheme="minorHAnsi"/>
          <w:sz w:val="24"/>
          <w:szCs w:val="24"/>
        </w:rPr>
        <w:t>Kopia [w wersji papierowej oraz elektronicznej] wszystkich uzgodnień niezbędnych do uzyskania uzgodnień oraz realizacji Inwestycji;</w:t>
      </w:r>
    </w:p>
    <w:p w:rsidR="00E46E3E" w:rsidRPr="006F02A8" w:rsidRDefault="00582185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hAnsiTheme="minorHAnsi" w:cstheme="minorHAnsi"/>
        </w:rPr>
        <w:t>Projekt techniczny [3 egzemplarze + wersja elektroniczna w formacie .pdf], zawierający m.in.</w:t>
      </w:r>
      <w:r w:rsidR="00E46E3E" w:rsidRPr="006F02A8">
        <w:rPr>
          <w:rFonts w:asciiTheme="minorHAnsi" w:eastAsia="Calibri" w:hAnsiTheme="minorHAnsi" w:cstheme="minorHAnsi"/>
          <w:lang w:eastAsia="en-US"/>
        </w:rPr>
        <w:t>:</w:t>
      </w:r>
    </w:p>
    <w:p w:rsidR="00E46E3E" w:rsidRPr="006F02A8" w:rsidRDefault="00E46E3E" w:rsidP="006F02A8">
      <w:pPr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część opisową;</w:t>
      </w:r>
    </w:p>
    <w:p w:rsidR="00E46E3E" w:rsidRPr="006F02A8" w:rsidRDefault="00E46E3E" w:rsidP="006F02A8">
      <w:pPr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część rysunkową:</w:t>
      </w:r>
    </w:p>
    <w:p w:rsidR="00E46E3E" w:rsidRPr="006F02A8" w:rsidRDefault="00E46E3E" w:rsidP="006F02A8">
      <w:pPr>
        <w:numPr>
          <w:ilvl w:val="0"/>
          <w:numId w:val="18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Orientacja;</w:t>
      </w:r>
    </w:p>
    <w:p w:rsidR="00E46E3E" w:rsidRPr="006F02A8" w:rsidRDefault="00E46E3E" w:rsidP="006F02A8">
      <w:pPr>
        <w:numPr>
          <w:ilvl w:val="0"/>
          <w:numId w:val="18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Plan sytuacyjny;</w:t>
      </w:r>
    </w:p>
    <w:p w:rsidR="00E46E3E" w:rsidRPr="006F02A8" w:rsidRDefault="00E46E3E" w:rsidP="006F02A8">
      <w:pPr>
        <w:numPr>
          <w:ilvl w:val="0"/>
          <w:numId w:val="18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Przekroje typowe;</w:t>
      </w:r>
    </w:p>
    <w:p w:rsidR="00E46E3E" w:rsidRPr="006F02A8" w:rsidRDefault="00E46E3E" w:rsidP="006F02A8">
      <w:pPr>
        <w:numPr>
          <w:ilvl w:val="0"/>
          <w:numId w:val="18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Przekroje poprzeczne;</w:t>
      </w:r>
    </w:p>
    <w:p w:rsidR="00E46E3E" w:rsidRPr="006F02A8" w:rsidRDefault="00E46E3E" w:rsidP="006F02A8">
      <w:pPr>
        <w:numPr>
          <w:ilvl w:val="0"/>
          <w:numId w:val="18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Niezbędne szczegóły rozwiązań technicznych;</w:t>
      </w:r>
    </w:p>
    <w:p w:rsidR="00E46E3E" w:rsidRPr="006F02A8" w:rsidRDefault="00E46E3E" w:rsidP="006F02A8">
      <w:pPr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02A8">
        <w:rPr>
          <w:rFonts w:asciiTheme="minorHAnsi" w:eastAsia="Calibri" w:hAnsiTheme="minorHAnsi" w:cstheme="minorHAnsi"/>
          <w:lang w:eastAsia="en-US"/>
        </w:rPr>
        <w:t>inne, niezbędne elementy dokumentacji projektowej.</w:t>
      </w:r>
    </w:p>
    <w:p w:rsidR="006F02A8" w:rsidRPr="006F02A8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lastRenderedPageBreak/>
        <w:t>Specyfikacje techniczne wykonania i odbioru robót budowlanych [3 egzemplarze + wersja elektroniczna w formacie .pdf];</w:t>
      </w:r>
    </w:p>
    <w:p w:rsidR="006F02A8" w:rsidRPr="006F02A8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t>Przedmiar robót z podziałem na branże oraz kody CPV [3 egzemplarze + wersja elektroniczna edytowalna (.xls lub .</w:t>
      </w:r>
      <w:proofErr w:type="spellStart"/>
      <w:r w:rsidRPr="006F02A8">
        <w:rPr>
          <w:rFonts w:ascii="Calibri" w:eastAsia="Calibri" w:hAnsi="Calibri" w:cs="Calibri"/>
          <w:lang w:eastAsia="en-US"/>
        </w:rPr>
        <w:t>kst</w:t>
      </w:r>
      <w:proofErr w:type="spellEnd"/>
      <w:r w:rsidRPr="006F02A8">
        <w:rPr>
          <w:rFonts w:ascii="Calibri" w:eastAsia="Calibri" w:hAnsi="Calibri" w:cs="Calibri"/>
          <w:lang w:eastAsia="en-US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6F02A8">
        <w:rPr>
          <w:rFonts w:ascii="Calibri" w:eastAsia="Calibri" w:hAnsi="Calibri" w:cs="Calibri"/>
          <w:lang w:eastAsia="en-US"/>
        </w:rPr>
        <w:t>kilometraża</w:t>
      </w:r>
      <w:proofErr w:type="spellEnd"/>
      <w:r w:rsidRPr="006F02A8">
        <w:rPr>
          <w:rFonts w:ascii="Calibri" w:eastAsia="Calibri" w:hAnsi="Calibri" w:cs="Calibri"/>
          <w:lang w:eastAsia="en-US"/>
        </w:rPr>
        <w:t xml:space="preserve"> drogi;</w:t>
      </w:r>
    </w:p>
    <w:p w:rsidR="006F02A8" w:rsidRPr="006F02A8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t>Kosztorys inwestorski [1 egzemplarz + wersja elektroniczna w wersji edytowalnej (.xls lub .</w:t>
      </w:r>
      <w:proofErr w:type="spellStart"/>
      <w:r w:rsidRPr="006F02A8">
        <w:rPr>
          <w:rFonts w:ascii="Calibri" w:eastAsia="Calibri" w:hAnsi="Calibri" w:cs="Calibri"/>
          <w:lang w:eastAsia="en-US"/>
        </w:rPr>
        <w:t>kst</w:t>
      </w:r>
      <w:proofErr w:type="spellEnd"/>
      <w:r w:rsidRPr="006F02A8">
        <w:rPr>
          <w:rFonts w:ascii="Calibri" w:eastAsia="Calibri" w:hAnsi="Calibri" w:cs="Calibri"/>
          <w:lang w:eastAsia="en-US"/>
        </w:rPr>
        <w:t>) oraz w formacie .pdf];</w:t>
      </w:r>
    </w:p>
    <w:p w:rsidR="006F02A8" w:rsidRPr="006F02A8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t>Kosztorys ślepy [1 egzemplarz + wersja edytowalna (w formacie .xls lub .</w:t>
      </w:r>
      <w:proofErr w:type="spellStart"/>
      <w:r w:rsidRPr="006F02A8">
        <w:rPr>
          <w:rFonts w:ascii="Calibri" w:eastAsia="Calibri" w:hAnsi="Calibri" w:cs="Calibri"/>
          <w:lang w:eastAsia="en-US"/>
        </w:rPr>
        <w:t>kst</w:t>
      </w:r>
      <w:proofErr w:type="spellEnd"/>
      <w:r w:rsidRPr="006F02A8">
        <w:rPr>
          <w:rFonts w:ascii="Calibri" w:eastAsia="Calibri" w:hAnsi="Calibri" w:cs="Calibri"/>
          <w:lang w:eastAsia="en-US"/>
        </w:rPr>
        <w:t>) oraz w formacie .pdf];</w:t>
      </w:r>
    </w:p>
    <w:p w:rsidR="006F02A8" w:rsidRPr="006F02A8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t>Jednorazowa aktualizacja kosztorysu inwestorskiego w dowolnym terminie wskazanym przez Zamawiającego, w tym także po zakończeniu terminu realizacji Umowy dot. wykonania dokumentacji  [1 egzemplarz + wersja elektroniczna w wersji edytowalnej (.xls lub .</w:t>
      </w:r>
      <w:proofErr w:type="spellStart"/>
      <w:r w:rsidRPr="006F02A8">
        <w:rPr>
          <w:rFonts w:ascii="Calibri" w:eastAsia="Calibri" w:hAnsi="Calibri" w:cs="Calibri"/>
          <w:lang w:eastAsia="en-US"/>
        </w:rPr>
        <w:t>kst</w:t>
      </w:r>
      <w:proofErr w:type="spellEnd"/>
      <w:r w:rsidRPr="006F02A8">
        <w:rPr>
          <w:rFonts w:ascii="Calibri" w:eastAsia="Calibri" w:hAnsi="Calibri" w:cs="Calibri"/>
          <w:lang w:eastAsia="en-US"/>
        </w:rPr>
        <w:t>) oraz w formacie .pdf]</w:t>
      </w:r>
    </w:p>
    <w:p w:rsidR="006F02A8" w:rsidRPr="006F02A8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E46E3E" w:rsidRPr="00E46E3E" w:rsidRDefault="006F02A8" w:rsidP="006F02A8">
      <w:pPr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6F02A8">
        <w:rPr>
          <w:rFonts w:ascii="Calibri" w:eastAsia="Calibri" w:hAnsi="Calibri" w:cs="Calibri"/>
          <w:lang w:eastAsia="en-US"/>
        </w:rPr>
        <w:t>Projekt stałej organizacji robót – pozytywnie zaopiniowany i zatwierdzony [3 egzemplarze przekazane Zamawiającemu (plus dodatkowe egzemplarze wymagane prawem) + wersja elektroniczna w formacie .pdf]</w:t>
      </w:r>
      <w:r w:rsidR="00E46E3E" w:rsidRPr="00E46E3E">
        <w:rPr>
          <w:rFonts w:ascii="Calibri" w:eastAsia="Calibri" w:hAnsi="Calibri" w:cs="Calibri"/>
          <w:lang w:eastAsia="en-US"/>
        </w:rPr>
        <w:t>.</w:t>
      </w:r>
    </w:p>
    <w:p w:rsidR="00E46E3E" w:rsidRPr="00E46E3E" w:rsidRDefault="00E46E3E" w:rsidP="006F02A8">
      <w:pPr>
        <w:numPr>
          <w:ilvl w:val="0"/>
          <w:numId w:val="26"/>
        </w:numPr>
        <w:spacing w:line="300" w:lineRule="atLeast"/>
        <w:ind w:left="567" w:hanging="567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Wymagania formalno-prawne.</w:t>
      </w:r>
    </w:p>
    <w:p w:rsidR="00E46E3E" w:rsidRPr="00E46E3E" w:rsidRDefault="00E46E3E" w:rsidP="006F02A8">
      <w:pPr>
        <w:spacing w:line="300" w:lineRule="atLeast"/>
        <w:ind w:left="567" w:hanging="567"/>
        <w:rPr>
          <w:rFonts w:ascii="Calibri" w:hAnsi="Calibri" w:cs="Calibri"/>
          <w:b/>
          <w:i/>
          <w:iCs/>
          <w:color w:val="FF0000"/>
          <w:highlight w:val="yellow"/>
        </w:rPr>
      </w:pPr>
    </w:p>
    <w:p w:rsidR="006F02A8" w:rsidRPr="006F02A8" w:rsidRDefault="006F02A8" w:rsidP="006F02A8">
      <w:pPr>
        <w:pStyle w:val="Akapitzlist"/>
        <w:numPr>
          <w:ilvl w:val="0"/>
          <w:numId w:val="28"/>
        </w:numPr>
        <w:spacing w:line="300" w:lineRule="atLeast"/>
        <w:ind w:left="567" w:hanging="207"/>
        <w:jc w:val="both"/>
        <w:rPr>
          <w:rFonts w:cs="Calibri"/>
          <w:iCs/>
          <w:sz w:val="24"/>
          <w:szCs w:val="24"/>
        </w:rPr>
      </w:pPr>
      <w:r w:rsidRPr="006F02A8">
        <w:rPr>
          <w:rFonts w:cs="Calibri"/>
          <w:iCs/>
          <w:sz w:val="24"/>
          <w:szCs w:val="24"/>
        </w:rPr>
        <w:t xml:space="preserve">W terminie do </w:t>
      </w:r>
      <w:r w:rsidRPr="006F02A8">
        <w:rPr>
          <w:rFonts w:cs="Calibri"/>
          <w:b/>
          <w:iCs/>
          <w:sz w:val="24"/>
          <w:szCs w:val="24"/>
        </w:rPr>
        <w:t>30 dni</w:t>
      </w:r>
      <w:r w:rsidRPr="006F02A8">
        <w:rPr>
          <w:rFonts w:cs="Calibri"/>
          <w:iCs/>
          <w:sz w:val="24"/>
          <w:szCs w:val="24"/>
        </w:rPr>
        <w:t xml:space="preserve"> od daty podpisania Umowy Jednostka Projektująca przedstawi Zamawiającemu koncepcje, zgodnie z pkt. II.3.c)</w:t>
      </w:r>
    </w:p>
    <w:p w:rsidR="006F02A8" w:rsidRPr="006F02A8" w:rsidRDefault="006F02A8" w:rsidP="006F02A8">
      <w:pPr>
        <w:pStyle w:val="Akapitzlist"/>
        <w:numPr>
          <w:ilvl w:val="0"/>
          <w:numId w:val="28"/>
        </w:numPr>
        <w:spacing w:line="300" w:lineRule="atLeast"/>
        <w:ind w:left="567" w:hanging="207"/>
        <w:jc w:val="both"/>
        <w:rPr>
          <w:rFonts w:cs="Calibri"/>
          <w:iCs/>
          <w:sz w:val="24"/>
          <w:szCs w:val="24"/>
        </w:rPr>
      </w:pPr>
      <w:r w:rsidRPr="006F02A8">
        <w:rPr>
          <w:rFonts w:cs="Calibri"/>
          <w:iCs/>
          <w:sz w:val="24"/>
          <w:szCs w:val="24"/>
        </w:rPr>
        <w:t xml:space="preserve">Zamawiający w ciągu </w:t>
      </w:r>
      <w:r w:rsidRPr="006F02A8">
        <w:rPr>
          <w:rFonts w:cs="Calibri"/>
          <w:b/>
          <w:iCs/>
          <w:sz w:val="24"/>
          <w:szCs w:val="24"/>
        </w:rPr>
        <w:t>14 dni</w:t>
      </w:r>
      <w:r w:rsidRPr="006F02A8">
        <w:rPr>
          <w:rFonts w:cs="Calibri"/>
          <w:iCs/>
          <w:sz w:val="24"/>
          <w:szCs w:val="24"/>
        </w:rPr>
        <w:t>, zaakceptuje koncepcję projektową bądź przekaże swoje uwagi i wątpliwości Jednostce Projektującej celem ich uwzględnienia w projekcie.</w:t>
      </w:r>
    </w:p>
    <w:p w:rsidR="00E46E3E" w:rsidRPr="006F02A8" w:rsidRDefault="006F02A8" w:rsidP="006F02A8">
      <w:pPr>
        <w:pStyle w:val="Akapitzlist"/>
        <w:numPr>
          <w:ilvl w:val="0"/>
          <w:numId w:val="28"/>
        </w:numPr>
        <w:spacing w:line="300" w:lineRule="atLeast"/>
        <w:ind w:left="567" w:hanging="207"/>
        <w:jc w:val="both"/>
        <w:rPr>
          <w:rFonts w:cs="Calibri"/>
          <w:iCs/>
          <w:sz w:val="24"/>
          <w:szCs w:val="24"/>
        </w:rPr>
      </w:pPr>
      <w:r w:rsidRPr="006F02A8">
        <w:rPr>
          <w:rFonts w:cs="Calibri"/>
          <w:iCs/>
          <w:sz w:val="24"/>
          <w:szCs w:val="24"/>
        </w:rPr>
        <w:t xml:space="preserve">Ostateczny termin realizacji zadania – </w:t>
      </w:r>
      <w:r w:rsidRPr="006F02A8">
        <w:rPr>
          <w:rFonts w:cs="Calibri"/>
          <w:b/>
          <w:iCs/>
          <w:sz w:val="24"/>
          <w:szCs w:val="24"/>
        </w:rPr>
        <w:t>11.08.2023r.</w:t>
      </w:r>
      <w:r w:rsidRPr="006F02A8">
        <w:rPr>
          <w:rFonts w:cs="Calibri"/>
          <w:iCs/>
          <w:sz w:val="24"/>
          <w:szCs w:val="24"/>
        </w:rPr>
        <w:t>, jest terminem całkowitego zakończenia zadania – wykonawca przekaże kompletną dokumentację Zamawiającemu (zawierającą Projekt Techniczny, Przedmiar Robót, Kosztorys inwestorski, Kosztorys ślepy oraz kompletną dokumentację do postępowania o udzielenie zamówienia publicznego) wraz ze skutecznym zgłoszeniem robót budowlanych niewymagających pozwolenia na budowę</w:t>
      </w:r>
      <w:r w:rsidR="00E46E3E" w:rsidRPr="006F02A8">
        <w:rPr>
          <w:rFonts w:cs="Calibri"/>
          <w:iCs/>
          <w:sz w:val="24"/>
          <w:szCs w:val="24"/>
        </w:rPr>
        <w:t>.</w:t>
      </w:r>
    </w:p>
    <w:p w:rsidR="00E46E3E" w:rsidRPr="006F02A8" w:rsidRDefault="00E46E3E" w:rsidP="006F02A8">
      <w:pPr>
        <w:pStyle w:val="Akapitzlist"/>
        <w:numPr>
          <w:ilvl w:val="0"/>
          <w:numId w:val="28"/>
        </w:numPr>
        <w:spacing w:line="300" w:lineRule="atLeast"/>
        <w:ind w:left="567" w:hanging="207"/>
        <w:jc w:val="both"/>
        <w:rPr>
          <w:rFonts w:cs="Calibri"/>
          <w:iCs/>
          <w:sz w:val="24"/>
          <w:szCs w:val="24"/>
        </w:rPr>
      </w:pPr>
      <w:r w:rsidRPr="006F02A8">
        <w:rPr>
          <w:rFonts w:cs="Calibri"/>
          <w:iCs/>
          <w:sz w:val="24"/>
          <w:szCs w:val="24"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E46E3E" w:rsidRPr="006F02A8" w:rsidRDefault="00E46E3E" w:rsidP="006F02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cs="Calibri"/>
          <w:iCs/>
          <w:sz w:val="24"/>
          <w:szCs w:val="24"/>
          <w:lang w:val="x-none" w:eastAsia="x-none"/>
        </w:rPr>
      </w:pPr>
      <w:r w:rsidRPr="006F02A8">
        <w:rPr>
          <w:rFonts w:cs="Calibri"/>
          <w:iCs/>
          <w:sz w:val="24"/>
          <w:szCs w:val="24"/>
          <w:lang w:val="x-none" w:eastAsia="x-none"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E46E3E" w:rsidRPr="006F02A8" w:rsidRDefault="00E46E3E" w:rsidP="006F02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cs="Calibri"/>
          <w:iCs/>
          <w:sz w:val="24"/>
          <w:szCs w:val="24"/>
          <w:lang w:val="x-none" w:eastAsia="x-none"/>
        </w:rPr>
      </w:pPr>
      <w:r w:rsidRPr="006F02A8">
        <w:rPr>
          <w:rFonts w:cs="Calibri"/>
          <w:iCs/>
          <w:sz w:val="24"/>
          <w:szCs w:val="24"/>
          <w:lang w:val="x-none" w:eastAsia="x-none"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:rsidR="00E46E3E" w:rsidRPr="006F02A8" w:rsidRDefault="00E46E3E" w:rsidP="006F02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cs="Calibri"/>
          <w:iCs/>
          <w:sz w:val="24"/>
          <w:szCs w:val="24"/>
          <w:lang w:val="x-none" w:eastAsia="x-none"/>
        </w:rPr>
      </w:pPr>
      <w:r w:rsidRPr="006F02A8">
        <w:rPr>
          <w:rFonts w:cs="Calibri"/>
          <w:iCs/>
          <w:sz w:val="24"/>
          <w:szCs w:val="24"/>
          <w:lang w:val="x-none" w:eastAsia="x-none"/>
        </w:rPr>
        <w:t xml:space="preserve">Przekazana dokumentacja w wersji elektronicznej powinna być umieszczona w całości na jednym nośniku danych (np. płycie CD) oraz ściśle odpowiadać wersji papierowej, </w:t>
      </w:r>
      <w:r w:rsidRPr="006F02A8">
        <w:rPr>
          <w:rFonts w:cs="Calibri"/>
          <w:iCs/>
          <w:sz w:val="24"/>
          <w:szCs w:val="24"/>
          <w:lang w:val="x-none" w:eastAsia="x-none"/>
        </w:rPr>
        <w:lastRenderedPageBreak/>
        <w:t>włączając w to skany wszelkich uzgodnień, opinii, decyzji oraz innych dokumentów formalnych pozyskanych przez Jednostkę Projektującą.</w:t>
      </w:r>
    </w:p>
    <w:p w:rsidR="00E46E3E" w:rsidRPr="006F02A8" w:rsidRDefault="00E46E3E" w:rsidP="006F02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80" w:after="0" w:line="300" w:lineRule="atLeast"/>
        <w:ind w:left="567" w:hanging="207"/>
        <w:jc w:val="both"/>
        <w:rPr>
          <w:rFonts w:cs="Calibri"/>
          <w:iCs/>
          <w:sz w:val="24"/>
          <w:szCs w:val="24"/>
          <w:lang w:val="x-none" w:eastAsia="x-none"/>
        </w:rPr>
      </w:pPr>
      <w:r w:rsidRPr="006F02A8">
        <w:rPr>
          <w:rFonts w:cs="Calibri"/>
          <w:iCs/>
          <w:sz w:val="24"/>
          <w:szCs w:val="24"/>
          <w:lang w:val="x-none" w:eastAsia="x-none"/>
        </w:rPr>
        <w:t>Zamawiający zastrzega sobie prawo do:</w:t>
      </w:r>
    </w:p>
    <w:p w:rsidR="00E46E3E" w:rsidRPr="00E46E3E" w:rsidRDefault="00E46E3E" w:rsidP="006F02A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E46E3E" w:rsidRPr="006F02A8" w:rsidRDefault="00E46E3E" w:rsidP="006F02A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</w:t>
      </w:r>
      <w:r w:rsidR="006F02A8">
        <w:rPr>
          <w:rFonts w:ascii="Calibri" w:hAnsi="Calibri" w:cs="Calibri"/>
          <w:iCs/>
          <w:lang w:eastAsia="x-none"/>
        </w:rPr>
        <w:br/>
      </w:r>
      <w:r w:rsidRPr="00E46E3E">
        <w:rPr>
          <w:rFonts w:ascii="Calibri" w:hAnsi="Calibri" w:cs="Calibri"/>
          <w:iCs/>
          <w:lang w:val="x-none" w:eastAsia="x-none"/>
        </w:rPr>
        <w:t xml:space="preserve">w opracowanej dokumentacji projektowej, których konieczność wprowadzenia wynikać będzie z zadawanych pytań, a także wniesionych </w:t>
      </w:r>
      <w:proofErr w:type="spellStart"/>
      <w:r w:rsidRPr="00E46E3E">
        <w:rPr>
          <w:rFonts w:ascii="Calibri" w:hAnsi="Calibri" w:cs="Calibri"/>
          <w:iCs/>
          <w:lang w:val="x-none" w:eastAsia="x-none"/>
        </w:rPr>
        <w:t>odwołań</w:t>
      </w:r>
      <w:proofErr w:type="spellEnd"/>
      <w:r w:rsidRPr="00E46E3E">
        <w:rPr>
          <w:rFonts w:ascii="Calibri" w:hAnsi="Calibri" w:cs="Calibri"/>
          <w:iCs/>
          <w:lang w:val="x-none" w:eastAsia="x-none"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E46E3E" w:rsidRPr="00E46E3E" w:rsidRDefault="00E46E3E" w:rsidP="006F02A8">
      <w:pPr>
        <w:widowControl w:val="0"/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ascii="Calibri" w:hAnsi="Calibri" w:cs="Calibri"/>
          <w:b/>
          <w:i/>
          <w:iCs/>
          <w:u w:val="single"/>
          <w:lang w:val="x-none" w:eastAsia="x-none"/>
        </w:rPr>
      </w:pPr>
      <w:r w:rsidRPr="00E46E3E">
        <w:rPr>
          <w:rFonts w:ascii="Calibri" w:hAnsi="Calibri" w:cs="Calibri"/>
          <w:b/>
          <w:i/>
          <w:iCs/>
          <w:u w:val="single"/>
          <w:lang w:val="x-none" w:eastAsia="x-none"/>
        </w:rPr>
        <w:t>Uwaga 1.</w:t>
      </w:r>
    </w:p>
    <w:p w:rsidR="00E46E3E" w:rsidRPr="006F02A8" w:rsidRDefault="00E46E3E" w:rsidP="006F02A8">
      <w:pPr>
        <w:widowControl w:val="0"/>
        <w:autoSpaceDE w:val="0"/>
        <w:autoSpaceDN w:val="0"/>
        <w:adjustRightInd w:val="0"/>
        <w:spacing w:before="80" w:line="300" w:lineRule="atLeast"/>
        <w:ind w:left="567" w:hanging="207"/>
        <w:jc w:val="both"/>
        <w:rPr>
          <w:rFonts w:ascii="Calibri" w:hAnsi="Calibri" w:cs="Calibri"/>
          <w:iCs/>
          <w:lang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Podany w nazwie zadania kilometraż został określony po przebiegu osi drogi.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  <w:lang w:val="x-none" w:eastAsia="x-none"/>
        </w:rPr>
      </w:pPr>
      <w:r w:rsidRPr="00E46E3E">
        <w:rPr>
          <w:rFonts w:ascii="Calibri" w:hAnsi="Calibri" w:cs="Calibri"/>
          <w:b/>
          <w:i/>
          <w:iCs/>
          <w:u w:val="single"/>
          <w:lang w:val="x-none" w:eastAsia="x-none"/>
        </w:rPr>
        <w:t>Dokumentację projektową należy opracować zgodnie z obowiązującymi przepisami: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Prawo budowlane z dnia 7 lipca 1994 r (Dz.U. 1994 nr 89, poz. 414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Prawo ochrony środowiska z dnia 27 kwietnia 2001 r. (Dz.U. 2001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nr 62, poz. 627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o drogach publicznych z dnia 21 marca 1985 r. (Dz.U. 1985 nr 14,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poz. 60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Prawo zamówień publicznych z dnia 29 stycznia 2004 r. (Dz.U. 2004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nr 19, poz. 177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Transportu i Gospodarki Morskiej z dnia 2 marca 1999 r. w sprawie warunków technicznych jakim powinny odpowiadać drogi publiczne i ich usytuowanie. (Dz.U. 1999 nr 43, poz.430);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nr 202 poz. 2072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poz. 1389);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Rozporządzeniem Ministra Gospodarki Przestrzennej i Budownictwa z dnia </w:t>
      </w:r>
      <w:r w:rsidRPr="00E46E3E">
        <w:rPr>
          <w:rFonts w:ascii="Calibri" w:hAnsi="Calibri" w:cs="Calibri"/>
          <w:i/>
          <w:iCs/>
          <w:lang w:val="x-none" w:eastAsia="x-none"/>
        </w:rPr>
        <w:br/>
      </w:r>
      <w:r w:rsidRPr="00E46E3E">
        <w:rPr>
          <w:rFonts w:ascii="Calibri" w:hAnsi="Calibri" w:cs="Calibri"/>
          <w:i/>
          <w:iCs/>
          <w:lang w:val="x-none" w:eastAsia="x-none"/>
        </w:rPr>
        <w:lastRenderedPageBreak/>
        <w:t>21 lutego 1995 r. w sprawie rodzaju i zakresu opracowań geodezyjno-kartograficznych oraz czynności geodezyjnych obowiązujących w budownictwie (Dz.U. nr 25 poz. 133);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Środowiska z dnia 24 lipca 2006 r. w sprawie warunków, jakie należy spełnić przy wprowadzaniu ścieków do wód i do ziemi oraz w sprawie substancji szczególnie szkodliwych dla środowiska wodnego (Dz.U. nr 137, poz. 984);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oraz Spraw Wewnętrznych</w:t>
      </w:r>
      <w:r w:rsidRPr="00E46E3E">
        <w:rPr>
          <w:rFonts w:ascii="Calibri" w:hAnsi="Calibri" w:cs="Calibri"/>
          <w:i/>
          <w:iCs/>
          <w:lang w:val="x-none" w:eastAsia="x-none"/>
        </w:rPr>
        <w:br/>
        <w:t xml:space="preserve"> i Administracji z dnia 31 lipca 2002 r. w sprawie znaków i sygnałów drogowych (Dz.U. nr 170, poz. 1393);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z dnia 23 września 2003 r. w sprawie szczegółowych warunków zarządzania ruchem na drogach oraz wykonywania nadzoru nad tym zarządzaniem (Dz.U. nr 177, poz. 1728 i 1729);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Innymi obowiązującymi przepisami techniczno-prawnymi.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  <w:highlight w:val="yellow"/>
          <w:lang w:val="x-none" w:eastAsia="x-none"/>
        </w:rPr>
      </w:pPr>
    </w:p>
    <w:p w:rsidR="00E213CC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u w:val="single"/>
          <w:lang w:val="x-none" w:eastAsia="x-none"/>
        </w:rPr>
        <w:t>Zaleca się, aby Wykonawca dokonał wizji lokalnej terenu realizacji zadania, zdobył wszelkie informacje, które mogą być konieczne do przygotowania oferty celem prawidłow</w:t>
      </w:r>
      <w:r>
        <w:rPr>
          <w:rFonts w:ascii="Calibri" w:hAnsi="Calibri" w:cs="Calibri"/>
          <w:iCs/>
          <w:u w:val="single"/>
          <w:lang w:val="x-none" w:eastAsia="x-none"/>
        </w:rPr>
        <w:t>ej wyceny przedmiotu zamówienia</w:t>
      </w:r>
      <w:r w:rsidR="00E213CC" w:rsidRPr="00E213CC">
        <w:rPr>
          <w:rFonts w:ascii="Calibri" w:hAnsi="Calibri" w:cs="Calibri"/>
          <w:iCs/>
        </w:rPr>
        <w:t>).</w:t>
      </w:r>
    </w:p>
    <w:p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6F02A8">
        <w:rPr>
          <w:rFonts w:ascii="Calibri" w:hAnsi="Calibri" w:cs="Calibri"/>
          <w:b/>
          <w:bCs/>
          <w:iCs/>
        </w:rPr>
        <w:t>11</w:t>
      </w:r>
      <w:bookmarkStart w:id="0" w:name="_GoBack"/>
      <w:bookmarkEnd w:id="0"/>
      <w:r w:rsidR="00E46E3E">
        <w:rPr>
          <w:rFonts w:ascii="Calibri" w:hAnsi="Calibri" w:cs="Calibri"/>
          <w:b/>
          <w:bCs/>
          <w:iCs/>
        </w:rPr>
        <w:t>.08.</w:t>
      </w:r>
      <w:r w:rsidR="00E213CC">
        <w:rPr>
          <w:rFonts w:ascii="Calibri" w:hAnsi="Calibri" w:cs="Calibri"/>
          <w:b/>
          <w:bCs/>
          <w:iCs/>
        </w:rPr>
        <w:t>2023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E46E3E" w:rsidRDefault="00E46E3E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:rsidR="00E46E3E" w:rsidRDefault="00E46E3E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lastRenderedPageBreak/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E46E3E" w:rsidRDefault="00E46E3E" w:rsidP="00231712">
      <w:pPr>
        <w:spacing w:after="120"/>
        <w:jc w:val="center"/>
        <w:rPr>
          <w:rFonts w:ascii="Calibri" w:hAnsi="Calibri" w:cs="Calibri"/>
          <w:i/>
          <w:iCs/>
        </w:rPr>
      </w:pP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48" w:rsidRDefault="00F86A48">
      <w:r>
        <w:separator/>
      </w:r>
    </w:p>
  </w:endnote>
  <w:endnote w:type="continuationSeparator" w:id="0">
    <w:p w:rsidR="00F86A48" w:rsidRDefault="00F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02A8">
      <w:rPr>
        <w:noProof/>
      </w:rPr>
      <w:t>8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48" w:rsidRDefault="00F86A48">
      <w:r>
        <w:separator/>
      </w:r>
    </w:p>
  </w:footnote>
  <w:footnote w:type="continuationSeparator" w:id="0">
    <w:p w:rsidR="00F86A48" w:rsidRDefault="00F8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F8"/>
    <w:multiLevelType w:val="hybridMultilevel"/>
    <w:tmpl w:val="FD6E0D4E"/>
    <w:lvl w:ilvl="0" w:tplc="0415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2">
    <w:nsid w:val="149005C3"/>
    <w:multiLevelType w:val="hybridMultilevel"/>
    <w:tmpl w:val="4CF24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822352"/>
    <w:multiLevelType w:val="hybridMultilevel"/>
    <w:tmpl w:val="D4EE6ECC"/>
    <w:lvl w:ilvl="0" w:tplc="C736E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419D"/>
    <w:multiLevelType w:val="hybridMultilevel"/>
    <w:tmpl w:val="F95A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2F1769"/>
    <w:multiLevelType w:val="hybridMultilevel"/>
    <w:tmpl w:val="F95A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20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3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6"/>
  </w:num>
  <w:num w:numId="5">
    <w:abstractNumId w:val="19"/>
  </w:num>
  <w:num w:numId="6">
    <w:abstractNumId w:val="1"/>
  </w:num>
  <w:num w:numId="7">
    <w:abstractNumId w:val="5"/>
  </w:num>
  <w:num w:numId="8">
    <w:abstractNumId w:val="12"/>
  </w:num>
  <w:num w:numId="9">
    <w:abstractNumId w:val="24"/>
  </w:num>
  <w:num w:numId="10">
    <w:abstractNumId w:val="8"/>
  </w:num>
  <w:num w:numId="11">
    <w:abstractNumId w:val="10"/>
  </w:num>
  <w:num w:numId="12">
    <w:abstractNumId w:val="23"/>
  </w:num>
  <w:num w:numId="13">
    <w:abstractNumId w:val="4"/>
  </w:num>
  <w:num w:numId="14">
    <w:abstractNumId w:val="9"/>
  </w:num>
  <w:num w:numId="15">
    <w:abstractNumId w:val="21"/>
  </w:num>
  <w:num w:numId="16">
    <w:abstractNumId w:val="7"/>
  </w:num>
  <w:num w:numId="17">
    <w:abstractNumId w:val="13"/>
  </w:num>
  <w:num w:numId="18">
    <w:abstractNumId w:val="20"/>
  </w:num>
  <w:num w:numId="19">
    <w:abstractNumId w:val="27"/>
  </w:num>
  <w:num w:numId="20">
    <w:abstractNumId w:val="18"/>
  </w:num>
  <w:num w:numId="21">
    <w:abstractNumId w:val="15"/>
  </w:num>
  <w:num w:numId="22">
    <w:abstractNumId w:val="14"/>
  </w:num>
  <w:num w:numId="23">
    <w:abstractNumId w:val="6"/>
  </w:num>
  <w:num w:numId="24">
    <w:abstractNumId w:val="22"/>
  </w:num>
  <w:num w:numId="25">
    <w:abstractNumId w:val="2"/>
  </w:num>
  <w:num w:numId="26">
    <w:abstractNumId w:val="3"/>
  </w:num>
  <w:num w:numId="27">
    <w:abstractNumId w:val="0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2185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6F02A8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21300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46E3E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86A48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2719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4</cp:revision>
  <cp:lastPrinted>2017-02-21T06:44:00Z</cp:lastPrinted>
  <dcterms:created xsi:type="dcterms:W3CDTF">2023-03-03T13:31:00Z</dcterms:created>
  <dcterms:modified xsi:type="dcterms:W3CDTF">2023-04-07T09:32:00Z</dcterms:modified>
</cp:coreProperties>
</file>