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1887BA2E" wp14:editId="29FE3CFF">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8B387E">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86400A" w:rsidRPr="008B387E" w:rsidRDefault="0086400A" w:rsidP="0086400A">
            <w:pPr>
              <w:jc w:val="center"/>
              <w:rPr>
                <w:rFonts w:ascii="Times New Roman" w:eastAsia="Calibri" w:hAnsi="Times New Roman" w:cs="Times New Roman"/>
                <w:b/>
                <w:i/>
                <w:sz w:val="24"/>
                <w:szCs w:val="24"/>
              </w:rPr>
            </w:pPr>
            <w:r w:rsidRPr="008B387E">
              <w:rPr>
                <w:rFonts w:ascii="Times New Roman" w:eastAsia="Calibri" w:hAnsi="Times New Roman" w:cs="Times New Roman"/>
                <w:b/>
                <w:i/>
                <w:sz w:val="24"/>
                <w:szCs w:val="24"/>
              </w:rPr>
              <w:t>„</w:t>
            </w:r>
            <w:r w:rsidR="008B387E" w:rsidRPr="008B387E">
              <w:rPr>
                <w:rFonts w:ascii="Times New Roman" w:hAnsi="Times New Roman" w:cs="Times New Roman"/>
                <w:b/>
                <w:i/>
                <w:sz w:val="24"/>
                <w:szCs w:val="24"/>
              </w:rPr>
              <w:t>Przebudowa drogi powiatowej Nr 1279R Róża – Stara Jastr</w:t>
            </w:r>
            <w:r w:rsidR="008B387E">
              <w:rPr>
                <w:rFonts w:ascii="Times New Roman" w:hAnsi="Times New Roman" w:cs="Times New Roman"/>
                <w:b/>
                <w:i/>
                <w:sz w:val="24"/>
                <w:szCs w:val="24"/>
              </w:rPr>
              <w:t xml:space="preserve">ząbka w km 6+419,00 - 5+429,00  </w:t>
            </w:r>
            <w:r w:rsidR="008B387E" w:rsidRPr="008B387E">
              <w:rPr>
                <w:rFonts w:ascii="Times New Roman" w:hAnsi="Times New Roman" w:cs="Times New Roman"/>
                <w:b/>
                <w:i/>
                <w:sz w:val="24"/>
                <w:szCs w:val="24"/>
              </w:rPr>
              <w:t>(km lokalny 0+520,00 – 1+510,00) w m. Stara Jastrząbka</w:t>
            </w:r>
            <w:r w:rsidRPr="008B387E">
              <w:rPr>
                <w:rFonts w:ascii="Times New Roman" w:eastAsia="Calibri" w:hAnsi="Times New Roman" w:cs="Times New Roman"/>
                <w:b/>
                <w:i/>
                <w:sz w:val="24"/>
                <w:szCs w:val="24"/>
              </w:rPr>
              <w:t>”</w:t>
            </w:r>
          </w:p>
          <w:p w:rsidR="00A16788" w:rsidRPr="00FC7A61" w:rsidRDefault="00A16788" w:rsidP="0086400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8B387E">
        <w:rPr>
          <w:rFonts w:ascii="Times New Roman" w:eastAsia="Times New Roman" w:hAnsi="Times New Roman" w:cs="Times New Roman"/>
          <w:i/>
          <w:sz w:val="24"/>
          <w:szCs w:val="24"/>
          <w:lang w:eastAsia="ar-SA"/>
        </w:rPr>
        <w:t>22lipca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F03E70" w:rsidRPr="00F03E70" w:rsidRDefault="00F03E70" w:rsidP="00F03E70">
      <w:pPr>
        <w:spacing w:after="0" w:line="240" w:lineRule="auto"/>
        <w:jc w:val="both"/>
        <w:rPr>
          <w:rFonts w:ascii="Times New Roman" w:eastAsia="Times New Roman" w:hAnsi="Times New Roman" w:cs="Times New Roman"/>
          <w:iCs/>
          <w:sz w:val="24"/>
          <w:lang w:eastAsia="pl-PL"/>
        </w:rPr>
      </w:pPr>
      <w:r w:rsidRPr="00F03E70">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F03E70" w:rsidRPr="00F03E70" w:rsidRDefault="00F03E70" w:rsidP="00F03E70">
      <w:pPr>
        <w:spacing w:before="120" w:after="120" w:line="240" w:lineRule="auto"/>
        <w:rPr>
          <w:rFonts w:ascii="Times New Roman" w:eastAsia="Times New Roman" w:hAnsi="Times New Roman" w:cs="Times New Roman"/>
          <w:b/>
          <w:bCs/>
          <w:iCs/>
          <w:sz w:val="24"/>
          <w:szCs w:val="24"/>
          <w:u w:val="single"/>
          <w:lang w:eastAsia="pl-PL"/>
        </w:rPr>
      </w:pPr>
      <w:r w:rsidRPr="00F03E70">
        <w:rPr>
          <w:rFonts w:ascii="Times New Roman" w:eastAsia="Times New Roman" w:hAnsi="Times New Roman" w:cs="Times New Roman"/>
          <w:b/>
          <w:bCs/>
          <w:iCs/>
          <w:sz w:val="24"/>
          <w:szCs w:val="24"/>
          <w:u w:val="single"/>
          <w:lang w:eastAsia="pl-PL"/>
        </w:rPr>
        <w:t>1. Zakres przedmiotu zamówienia obejmuje</w:t>
      </w:r>
      <w:r w:rsidRPr="00F03E70">
        <w:rPr>
          <w:rFonts w:ascii="Times New Roman" w:eastAsia="Times New Roman" w:hAnsi="Times New Roman" w:cs="Times New Roman"/>
          <w:b/>
          <w:bCs/>
          <w:iCs/>
          <w:sz w:val="24"/>
          <w:szCs w:val="24"/>
          <w:lang w:eastAsia="pl-PL"/>
        </w:rPr>
        <w:t>:</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roboty przygotowawcze,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odbudowa korpusu,</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poszerzenie jezdni,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chodniki,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podbudowy i nawierzchnie,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odwodnienie,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xml:space="preserve">- przepusty, </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skrzyżowania, zjazdy i zatoki,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rowy i przepusty pod zjazdami za chodnikiem,</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pobocza i rowy,</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umocnienia skarp,</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urządzenia zabezpieczające,</w:t>
      </w:r>
    </w:p>
    <w:p w:rsidR="00F03E70" w:rsidRPr="00F03E70" w:rsidRDefault="00F03E70" w:rsidP="00F03E70">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sidRPr="00F03E70">
        <w:rPr>
          <w:rFonts w:ascii="Times New Roman" w:eastAsia="Times New Roman" w:hAnsi="Times New Roman" w:cs="Times New Roman"/>
          <w:b/>
          <w:bCs/>
          <w:iCs/>
          <w:kern w:val="32"/>
          <w:sz w:val="24"/>
          <w:szCs w:val="32"/>
          <w:u w:val="single"/>
          <w:lang w:eastAsia="pl-PL"/>
        </w:rPr>
        <w:t xml:space="preserve">2. Zamówienie obejmuje:   </w:t>
      </w:r>
    </w:p>
    <w:p w:rsidR="00F03E70" w:rsidRPr="00F03E70" w:rsidRDefault="0032037D" w:rsidP="0032037D">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 xml:space="preserve">I. </w:t>
      </w:r>
      <w:r w:rsidR="00F03E70" w:rsidRPr="00F03E70">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F03E70" w:rsidRPr="00F03E70" w:rsidRDefault="0032037D" w:rsidP="0032037D">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 xml:space="preserve">II. </w:t>
      </w:r>
      <w:r w:rsidR="00F03E70" w:rsidRPr="00F03E70">
        <w:rPr>
          <w:rFonts w:ascii="Times New Roman" w:eastAsia="Times New Roman" w:hAnsi="Times New Roman" w:cs="Times New Roman"/>
          <w:bCs/>
          <w:iCs/>
          <w:sz w:val="24"/>
          <w:lang w:eastAsia="pl-PL"/>
        </w:rPr>
        <w:t>inne elementy ujęte w cenie ofertowej składające się na przedmiot zamówienia:</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obsługę geodezyjną robót i wykonanie inwentaryzacji powykonawczej,</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lastRenderedPageBreak/>
        <w:t xml:space="preserve">ubezpieczenie placu budowy, </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uporządkowanie placu budowy,</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F03E70" w:rsidRPr="00F03E70" w:rsidRDefault="00F03E70" w:rsidP="00F03E70">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utrzymanie przejezdności drogi i  dojazdów do posesji w trakcie okresu realizacji,</w:t>
      </w:r>
    </w:p>
    <w:p w:rsidR="00F03E70" w:rsidRPr="00F03E70" w:rsidRDefault="00F03E70" w:rsidP="00F03E70">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F03E70">
        <w:rPr>
          <w:rFonts w:ascii="Times New Roman" w:eastAsia="Times New Roman" w:hAnsi="Times New Roman" w:cs="Times New Roman"/>
          <w:bCs/>
          <w:iCs/>
          <w:sz w:val="24"/>
          <w:lang w:eastAsia="pl-PL"/>
        </w:rPr>
        <w:t>opracowanie instrukcji BIOZ.</w:t>
      </w:r>
    </w:p>
    <w:p w:rsidR="00F03E70" w:rsidRDefault="00F03E70" w:rsidP="00135F36">
      <w:pPr>
        <w:suppressAutoHyphens/>
        <w:spacing w:after="0"/>
        <w:ind w:left="284"/>
        <w:jc w:val="both"/>
        <w:rPr>
          <w:rFonts w:ascii="Times New Roman" w:eastAsia="Times New Roman" w:hAnsi="Times New Roman" w:cs="Times New Roman"/>
          <w:b/>
          <w:sz w:val="24"/>
          <w:szCs w:val="24"/>
          <w:lang w:eastAsia="ar-SA"/>
        </w:rPr>
      </w:pPr>
    </w:p>
    <w:p w:rsidR="00F03E70" w:rsidRDefault="00F03E70"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w:t>
      </w:r>
      <w:r w:rsidRPr="00351A11">
        <w:rPr>
          <w:rFonts w:ascii="Times New Roman" w:eastAsia="Times New Roman" w:hAnsi="Times New Roman" w:cs="Times New Roman"/>
          <w:i/>
          <w:sz w:val="24"/>
          <w:szCs w:val="24"/>
          <w:lang w:eastAsia="pl-PL"/>
        </w:rPr>
        <w:lastRenderedPageBreak/>
        <w:t>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w:t>
      </w:r>
      <w:r w:rsidRPr="00351A11">
        <w:rPr>
          <w:rFonts w:ascii="Times New Roman" w:eastAsia="Times New Roman" w:hAnsi="Times New Roman" w:cs="Times New Roman"/>
          <w:i/>
          <w:sz w:val="24"/>
          <w:szCs w:val="24"/>
          <w:lang w:eastAsia="pl-PL"/>
        </w:rPr>
        <w:lastRenderedPageBreak/>
        <w:t>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roboty przygotowawcze,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odbudowa korpusu,</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poszerzenie jezdni,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chodniki,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podbudowy i nawierzchnie,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odwodnienie,</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xml:space="preserve">- przepusty, </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skrzyżowania, zjazdy i zatoki,</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rowy i przepusty pod zjazdami za chodnikiem,</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pobocza i rowy,</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umocnienia skarp,</w:t>
      </w:r>
    </w:p>
    <w:p w:rsidR="00F03E70" w:rsidRPr="00F03E70" w:rsidRDefault="00F03E70" w:rsidP="00F03E70">
      <w:pPr>
        <w:autoSpaceDE w:val="0"/>
        <w:autoSpaceDN w:val="0"/>
        <w:adjustRightInd w:val="0"/>
        <w:spacing w:after="0" w:line="240" w:lineRule="auto"/>
        <w:ind w:left="1134" w:hanging="426"/>
        <w:rPr>
          <w:rFonts w:ascii="Times New Roman" w:eastAsia="Calibri" w:hAnsi="Times New Roman" w:cs="Times New Roman"/>
          <w:bCs/>
          <w:iCs/>
          <w:sz w:val="24"/>
          <w:szCs w:val="24"/>
        </w:rPr>
      </w:pPr>
      <w:r w:rsidRPr="00F03E70">
        <w:rPr>
          <w:rFonts w:ascii="Times New Roman" w:eastAsia="Calibri" w:hAnsi="Times New Roman" w:cs="Times New Roman"/>
          <w:bCs/>
          <w:iCs/>
          <w:sz w:val="24"/>
          <w:szCs w:val="24"/>
        </w:rPr>
        <w:t>- urządzenia zabezpieczające,</w:t>
      </w:r>
    </w:p>
    <w:p w:rsidR="00FA06A6" w:rsidRPr="00406676" w:rsidRDefault="00FA06A6"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października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3E2240"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3E2240"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bCs/>
          <w:i/>
          <w:sz w:val="24"/>
          <w:szCs w:val="24"/>
          <w:u w:val="single"/>
          <w:lang w:eastAsia="ar-SA"/>
        </w:rPr>
        <w:t>b)</w:t>
      </w:r>
      <w:r w:rsidRPr="003E2240">
        <w:rPr>
          <w:rFonts w:ascii="Times New Roman" w:eastAsia="Times New Roman" w:hAnsi="Times New Roman" w:cs="Times New Roman"/>
          <w:b/>
          <w:bCs/>
          <w:i/>
          <w:sz w:val="24"/>
          <w:szCs w:val="24"/>
          <w:u w:val="single"/>
          <w:lang w:val="x-none" w:eastAsia="ar-SA"/>
        </w:rPr>
        <w:t>Wykonawcy</w:t>
      </w:r>
      <w:r w:rsidRPr="003E2240">
        <w:rPr>
          <w:rFonts w:ascii="Times New Roman" w:eastAsia="Times New Roman" w:hAnsi="Times New Roman" w:cs="Times New Roman"/>
          <w:b/>
          <w:bCs/>
          <w:i/>
          <w:sz w:val="24"/>
          <w:szCs w:val="24"/>
          <w:lang w:val="x-none"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val="x-none" w:eastAsia="ar-SA"/>
        </w:rPr>
        <w:t>Wykonawca musi się wykazać doświadczeniem w wykonaniu</w:t>
      </w: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co najmniej</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jednej roboty budowlanej o charakterze podobnym jak zapisane w pkt 4.</w:t>
      </w:r>
      <w:r w:rsidR="00EB1D1D">
        <w:rPr>
          <w:rFonts w:ascii="Times New Roman" w:eastAsia="Times New Roman" w:hAnsi="Times New Roman" w:cs="Times New Roman"/>
          <w:b/>
          <w:i/>
          <w:sz w:val="24"/>
          <w:szCs w:val="24"/>
          <w:lang w:eastAsia="ar-SA"/>
        </w:rPr>
        <w:t>1</w:t>
      </w:r>
      <w:r w:rsidRPr="003E2240">
        <w:rPr>
          <w:rFonts w:ascii="Times New Roman" w:eastAsia="Times New Roman" w:hAnsi="Times New Roman" w:cs="Times New Roman"/>
          <w:b/>
          <w:i/>
          <w:sz w:val="24"/>
          <w:szCs w:val="24"/>
          <w:lang w:eastAsia="ar-SA"/>
        </w:rPr>
        <w:t xml:space="preserve"> IDW </w:t>
      </w:r>
      <w:r>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 xml:space="preserve">o wartości  min </w:t>
      </w:r>
      <w:r w:rsidR="00F03E70">
        <w:rPr>
          <w:rFonts w:ascii="Times New Roman" w:eastAsia="Times New Roman" w:hAnsi="Times New Roman" w:cs="Times New Roman"/>
          <w:b/>
          <w:i/>
          <w:sz w:val="24"/>
          <w:szCs w:val="24"/>
          <w:lang w:eastAsia="ar-SA"/>
        </w:rPr>
        <w:t>5</w:t>
      </w:r>
      <w:r w:rsidR="00A87EF2">
        <w:rPr>
          <w:rFonts w:ascii="Times New Roman" w:eastAsia="Times New Roman" w:hAnsi="Times New Roman" w:cs="Times New Roman"/>
          <w:b/>
          <w:i/>
          <w:sz w:val="24"/>
          <w:szCs w:val="24"/>
          <w:lang w:eastAsia="ar-SA"/>
        </w:rPr>
        <w:t xml:space="preserve">00 </w:t>
      </w:r>
      <w:r w:rsidRPr="0017411B">
        <w:rPr>
          <w:rFonts w:ascii="Times New Roman" w:eastAsia="Times New Roman" w:hAnsi="Times New Roman" w:cs="Times New Roman"/>
          <w:b/>
          <w:i/>
          <w:sz w:val="24"/>
          <w:szCs w:val="24"/>
          <w:lang w:eastAsia="ar-SA"/>
        </w:rPr>
        <w:t xml:space="preserve">000,00 </w:t>
      </w:r>
      <w:r w:rsidRPr="003E2240">
        <w:rPr>
          <w:rFonts w:ascii="Times New Roman" w:eastAsia="Times New Roman" w:hAnsi="Times New Roman" w:cs="Times New Roman"/>
          <w:b/>
          <w:i/>
          <w:sz w:val="24"/>
          <w:szCs w:val="24"/>
          <w:lang w:eastAsia="ar-SA"/>
        </w:rPr>
        <w:t>złotych brutto.</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lang w:eastAsia="ar-SA"/>
        </w:rPr>
        <w:t>Dopuszcza się łączenie poświadczenia robót na poszczególne elementy realizacji zadania zawartych w pkt. 4.</w:t>
      </w:r>
      <w:r w:rsidR="00EB1D1D">
        <w:rPr>
          <w:rFonts w:ascii="Times New Roman" w:eastAsia="Times New Roman" w:hAnsi="Times New Roman" w:cs="Times New Roman"/>
          <w:b/>
          <w:i/>
          <w:lang w:eastAsia="ar-SA"/>
        </w:rPr>
        <w:t xml:space="preserve">1 </w:t>
      </w:r>
      <w:r w:rsidRPr="003E2240">
        <w:rPr>
          <w:rFonts w:ascii="Times New Roman" w:eastAsia="Times New Roman" w:hAnsi="Times New Roman" w:cs="Times New Roman"/>
          <w:b/>
          <w:i/>
          <w:lang w:eastAsia="ar-SA"/>
        </w:rPr>
        <w:t>IDW).</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color w:val="FF0000"/>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w:t>
      </w:r>
      <w:r w:rsidRPr="003E2240">
        <w:rPr>
          <w:rFonts w:ascii="Times New Roman" w:eastAsia="Times New Roman" w:hAnsi="Times New Roman" w:cs="Times New Roman"/>
          <w:i/>
          <w:color w:val="000000"/>
          <w:sz w:val="24"/>
          <w:szCs w:val="24"/>
          <w:lang w:val="x-none" w:eastAsia="ar-SA"/>
        </w:rPr>
        <w:lastRenderedPageBreak/>
        <w:t xml:space="preserve">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lastRenderedPageBreak/>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 xml:space="preserve">ma siedzibę lub miejsce zamieszkania, </w:t>
      </w:r>
      <w:r w:rsidRPr="003E2240">
        <w:rPr>
          <w:rFonts w:ascii="Times New Roman" w:eastAsia="Times New Roman" w:hAnsi="Times New Roman" w:cs="Times New Roman"/>
          <w:i/>
          <w:spacing w:val="-4"/>
          <w:sz w:val="24"/>
          <w:szCs w:val="24"/>
          <w:lang w:val="x-none" w:eastAsia="ar-SA"/>
        </w:rPr>
        <w:lastRenderedPageBreak/>
        <w:t>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w:t>
      </w:r>
      <w:r w:rsidRPr="003E2240">
        <w:rPr>
          <w:rFonts w:ascii="Times New Roman" w:eastAsia="Times New Roman" w:hAnsi="Times New Roman" w:cs="Times New Roman"/>
          <w:i/>
          <w:sz w:val="24"/>
          <w:szCs w:val="24"/>
          <w:lang w:eastAsia="ar-SA"/>
        </w:rPr>
        <w:lastRenderedPageBreak/>
        <w:t xml:space="preserve">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D018CA" w:rsidP="00EC0F02">
      <w:pPr>
        <w:ind w:left="360"/>
        <w:jc w:val="both"/>
        <w:rPr>
          <w:b/>
          <w:i/>
        </w:rPr>
      </w:pPr>
      <w:r>
        <w:rPr>
          <w:rFonts w:ascii="Times New Roman" w:hAnsi="Times New Roman" w:cs="Times New Roman"/>
          <w:b/>
          <w:i/>
          <w:sz w:val="24"/>
          <w:szCs w:val="24"/>
        </w:rPr>
        <w:t xml:space="preserve">10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dziesięć </w:t>
      </w:r>
      <w:r w:rsidR="00EC0F02" w:rsidRPr="003E2240">
        <w:rPr>
          <w:rFonts w:ascii="Times New Roman" w:hAnsi="Times New Roman" w:cs="Times New Roman"/>
          <w:b/>
          <w:i/>
          <w:sz w:val="24"/>
          <w:szCs w:val="24"/>
        </w:rPr>
        <w:t>tysięcy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 xml:space="preserve">16.6.1.Zamawiający zwraca wadium wszystkim wykonawcom niezwłocznie po wyborze oferty najkorzystniejszej lub unieważnieniu postępowania, z </w:t>
      </w:r>
      <w:r w:rsidRPr="003E2240">
        <w:rPr>
          <w:rFonts w:ascii="Times New Roman" w:hAnsi="Times New Roman" w:cs="Times New Roman"/>
          <w:i/>
          <w:sz w:val="24"/>
          <w:szCs w:val="24"/>
        </w:rPr>
        <w:lastRenderedPageBreak/>
        <w:t>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treści gwarancji (poręczenia) musi jednoznacznie wynikać, jaki jest sposób reprezentacji Gwaranta. Gwarancja musi być podpisana przez upoważnionego </w:t>
      </w:r>
      <w:r w:rsidRPr="003E2240">
        <w:rPr>
          <w:rFonts w:ascii="Times New Roman" w:eastAsia="Times New Roman" w:hAnsi="Times New Roman" w:cs="Times New Roman"/>
          <w:i/>
          <w:sz w:val="24"/>
          <w:szCs w:val="24"/>
          <w:lang w:eastAsia="ar-SA"/>
        </w:rPr>
        <w:lastRenderedPageBreak/>
        <w:t>(upełnomocnionego)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w:t>
      </w:r>
      <w:r w:rsidRPr="003E2240">
        <w:rPr>
          <w:rFonts w:ascii="Times New Roman" w:eastAsia="Times New Roman" w:hAnsi="Times New Roman" w:cs="Times New Roman"/>
          <w:i/>
          <w:sz w:val="24"/>
          <w:szCs w:val="24"/>
          <w:lang w:eastAsia="ar-SA"/>
        </w:rPr>
        <w:lastRenderedPageBreak/>
        <w:t>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312391" w:rsidP="00CA4FF3">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w:t>
            </w:r>
            <w:r w:rsidR="00CA4FF3">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8F265F" w:rsidRPr="0086400A" w:rsidRDefault="008F265F" w:rsidP="008F265F">
      <w:pPr>
        <w:jc w:val="center"/>
        <w:rPr>
          <w:rFonts w:ascii="Calibri" w:eastAsia="Calibri" w:hAnsi="Calibri" w:cs="Times New Roman"/>
          <w:b/>
          <w:i/>
          <w:sz w:val="24"/>
          <w:szCs w:val="24"/>
        </w:rPr>
      </w:pPr>
      <w:r w:rsidRPr="0086400A">
        <w:rPr>
          <w:rFonts w:ascii="Times New Roman" w:eastAsia="Calibri" w:hAnsi="Times New Roman" w:cs="Times New Roman"/>
          <w:b/>
          <w:i/>
          <w:sz w:val="28"/>
          <w:szCs w:val="24"/>
        </w:rPr>
        <w:t>„</w:t>
      </w:r>
      <w:r w:rsidR="008B387E" w:rsidRPr="00CD169F">
        <w:rPr>
          <w:rFonts w:cstheme="minorHAnsi"/>
          <w:b/>
        </w:rPr>
        <w:t xml:space="preserve">Przebudowa drogi powiatowej Nr 1279R Róża – Stara Jastrząbka w km 6+419,00 - 5+429,00 </w:t>
      </w:r>
      <w:r w:rsidR="008B387E" w:rsidRPr="00CD169F">
        <w:rPr>
          <w:rFonts w:cstheme="minorHAnsi"/>
          <w:b/>
        </w:rPr>
        <w:br/>
        <w:t>(km lokalny 0+520,00 – 1+510,00) w m. Stara Jastrząbka</w:t>
      </w:r>
      <w:r w:rsidRPr="0086400A">
        <w:rPr>
          <w:rFonts w:ascii="Calibri" w:eastAsia="Calibri" w:hAnsi="Calibri" w:cs="Times New Roman"/>
          <w:b/>
          <w:i/>
          <w:sz w:val="28"/>
          <w:szCs w:val="24"/>
        </w:rPr>
        <w:t>”</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312391" w:rsidP="00CA4FF3">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0</w:t>
            </w:r>
            <w:r w:rsidR="00CA4FF3">
              <w:rPr>
                <w:rFonts w:ascii="Times New Roman" w:eastAsia="Times New Roman" w:hAnsi="Times New Roman" w:cs="Times New Roman"/>
                <w:b/>
                <w:i/>
                <w:sz w:val="24"/>
                <w:szCs w:val="24"/>
                <w:lang w:eastAsia="ar-SA"/>
              </w:rPr>
              <w:t>8</w:t>
            </w:r>
            <w:r w:rsidR="00EC0F02">
              <w:rPr>
                <w:rFonts w:ascii="Times New Roman" w:eastAsia="Times New Roman" w:hAnsi="Times New Roman" w:cs="Times New Roman"/>
                <w:b/>
                <w:i/>
                <w:sz w:val="24"/>
                <w:szCs w:val="24"/>
                <w:lang w:eastAsia="ar-SA"/>
              </w:rPr>
              <w:t>.0</w:t>
            </w:r>
            <w:r>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lastRenderedPageBreak/>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1"/>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8F265F" w:rsidRPr="0086400A" w:rsidRDefault="00EC0F02" w:rsidP="008F265F">
      <w:pPr>
        <w:jc w:val="center"/>
        <w:rPr>
          <w:rFonts w:ascii="Calibri" w:eastAsia="Calibri" w:hAnsi="Calibri" w:cs="Times New Roman"/>
          <w:b/>
          <w:i/>
          <w:sz w:val="24"/>
          <w:szCs w:val="24"/>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8B387E">
        <w:rPr>
          <w:rFonts w:ascii="Arial" w:eastAsia="Calibri" w:hAnsi="Arial" w:cs="Arial"/>
        </w:rPr>
        <w:t>7</w:t>
      </w:r>
      <w:r>
        <w:rPr>
          <w:rFonts w:ascii="Arial" w:eastAsia="Calibri" w:hAnsi="Arial" w:cs="Arial"/>
        </w:rPr>
        <w:t>.201</w:t>
      </w:r>
      <w:r w:rsidR="008F265F">
        <w:rPr>
          <w:rFonts w:ascii="Arial" w:eastAsia="Calibri" w:hAnsi="Arial" w:cs="Arial"/>
        </w:rPr>
        <w:t>9</w:t>
      </w:r>
      <w:r>
        <w:rPr>
          <w:rFonts w:ascii="Arial" w:eastAsia="Calibri" w:hAnsi="Arial" w:cs="Arial"/>
        </w:rPr>
        <w:t xml:space="preserve"> </w:t>
      </w:r>
      <w:r w:rsidR="008F7234">
        <w:rPr>
          <w:rFonts w:ascii="Arial" w:eastAsia="Calibri" w:hAnsi="Arial" w:cs="Arial"/>
        </w:rPr>
        <w:t xml:space="preserve"> </w:t>
      </w:r>
      <w:r w:rsidR="008F265F" w:rsidRPr="0086400A">
        <w:rPr>
          <w:rFonts w:ascii="Times New Roman" w:eastAsia="Calibri" w:hAnsi="Times New Roman" w:cs="Times New Roman"/>
          <w:b/>
          <w:i/>
          <w:sz w:val="28"/>
          <w:szCs w:val="24"/>
        </w:rPr>
        <w:t>„</w:t>
      </w:r>
      <w:r w:rsidR="008B387E" w:rsidRPr="00CD169F">
        <w:rPr>
          <w:rFonts w:cstheme="minorHAnsi"/>
          <w:b/>
        </w:rPr>
        <w:t xml:space="preserve">Przebudowa drogi powiatowej Nr 1279R Róża – Stara Jastrząbka w km 6+419,00 - 5+429,00 </w:t>
      </w:r>
      <w:r w:rsidR="008B387E" w:rsidRPr="00CD169F">
        <w:rPr>
          <w:rFonts w:cstheme="minorHAnsi"/>
          <w:b/>
        </w:rPr>
        <w:br/>
        <w:t>(km lokalny 0+520,00 – 1+510,00) w m. Stara Jastrząbka</w:t>
      </w:r>
      <w:r w:rsidR="008F265F" w:rsidRPr="0086400A">
        <w:rPr>
          <w:rFonts w:ascii="Calibri" w:eastAsia="Calibri" w:hAnsi="Calibri" w:cs="Times New Roman"/>
          <w:b/>
          <w:i/>
          <w:sz w:val="28"/>
          <w:szCs w:val="24"/>
        </w:rPr>
        <w:t>”</w:t>
      </w:r>
    </w:p>
    <w:p w:rsidR="00EC0F02" w:rsidRPr="008F7234" w:rsidRDefault="00EC0F02" w:rsidP="008F7234">
      <w:pPr>
        <w:jc w:val="center"/>
        <w:rPr>
          <w:rFonts w:ascii="Calibri" w:eastAsia="Calibri" w:hAnsi="Calibri"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lastRenderedPageBreak/>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8B387E">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008F7234" w:rsidRPr="00DF4485">
        <w:rPr>
          <w:rFonts w:ascii="Times New Roman" w:eastAsia="Times New Roman" w:hAnsi="Times New Roman" w:cs="Times New Roman"/>
          <w:b/>
          <w:i/>
          <w:sz w:val="24"/>
          <w:szCs w:val="24"/>
          <w:lang w:eastAsia="ar-SA"/>
        </w:rPr>
        <w:t xml:space="preserve">   </w:t>
      </w:r>
      <w:r w:rsidR="00247BAE">
        <w:rPr>
          <w:rFonts w:ascii="Times New Roman" w:eastAsia="Times New Roman" w:hAnsi="Times New Roman" w:cs="Times New Roman"/>
          <w:b/>
          <w:i/>
          <w:sz w:val="24"/>
          <w:szCs w:val="24"/>
          <w:lang w:eastAsia="ar-SA"/>
        </w:rPr>
        <w:t>30</w:t>
      </w:r>
      <w:r w:rsidR="00DF4485" w:rsidRPr="00DF4485">
        <w:rPr>
          <w:rFonts w:ascii="Times New Roman" w:eastAsia="Times New Roman" w:hAnsi="Times New Roman" w:cs="Times New Roman"/>
          <w:b/>
          <w:i/>
          <w:sz w:val="24"/>
          <w:szCs w:val="24"/>
          <w:lang w:eastAsia="ar-SA"/>
        </w:rPr>
        <w:t xml:space="preserve"> października 2019r.</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893345">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8B387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247BA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247BA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bookmarkStart w:id="28" w:name="_GoBack"/>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bookmarkEnd w:id="28"/>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8B387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B387E">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8B387E">
        <w:rPr>
          <w:rFonts w:ascii="Times New Roman" w:eastAsia="Times New Roman" w:hAnsi="Times New Roman" w:cs="Times New Roman"/>
          <w:b/>
          <w:bCs/>
          <w:i/>
          <w:iCs/>
          <w:sz w:val="24"/>
          <w:szCs w:val="24"/>
          <w:lang w:eastAsia="ar-SA"/>
        </w:rPr>
        <w:t>7</w:t>
      </w:r>
      <w:r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Pr="003E2240">
        <w:rPr>
          <w:rFonts w:ascii="Times New Roman" w:eastAsia="Times New Roman" w:hAnsi="Times New Roman" w:cs="Times New Roman"/>
          <w:i/>
          <w:sz w:val="24"/>
          <w:szCs w:val="24"/>
          <w:lang w:eastAsia="ar-SA"/>
        </w:rPr>
        <w:t xml:space="preserve"> ze zm.),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8B387E" w:rsidRPr="003E2240" w:rsidRDefault="008B387E" w:rsidP="00EC0F02">
      <w:pPr>
        <w:suppressAutoHyphens/>
        <w:spacing w:after="0" w:line="240" w:lineRule="auto"/>
        <w:jc w:val="both"/>
        <w:rPr>
          <w:rFonts w:ascii="Times New Roman" w:eastAsia="Times New Roman" w:hAnsi="Times New Roman" w:cs="Times New Roman"/>
          <w:i/>
          <w:sz w:val="24"/>
          <w:szCs w:val="24"/>
          <w:lang w:eastAsia="ar-SA"/>
        </w:rPr>
      </w:pPr>
      <w:r>
        <w:rPr>
          <w:rFonts w:cstheme="minorHAnsi"/>
          <w:b/>
        </w:rPr>
        <w:t>‘</w:t>
      </w:r>
      <w:r w:rsidRPr="00CD169F">
        <w:rPr>
          <w:rFonts w:cstheme="minorHAnsi"/>
          <w:b/>
        </w:rPr>
        <w:t xml:space="preserve">Przebudowa drogi powiatowej Nr 1279R Róża – Stara Jastrząbka w km 6+419,00 - 5+429,00 </w:t>
      </w:r>
      <w:r w:rsidRPr="00CD169F">
        <w:rPr>
          <w:rFonts w:cstheme="minorHAnsi"/>
          <w:b/>
        </w:rPr>
        <w:br/>
        <w:t>(km lokalny 0+520,00 – 1+510,00) w m. Stara Jastrząbka</w:t>
      </w:r>
      <w:r>
        <w:rPr>
          <w:rFonts w:cstheme="minorHAnsi"/>
          <w:b/>
        </w:rPr>
        <w:t>”.</w:t>
      </w:r>
    </w:p>
    <w:p w:rsidR="005D1B52" w:rsidRPr="005D1B52" w:rsidRDefault="005D1B52" w:rsidP="005D1B52">
      <w:pPr>
        <w:spacing w:after="0" w:line="240" w:lineRule="auto"/>
        <w:jc w:val="both"/>
        <w:rPr>
          <w:rFonts w:ascii="Times New Roman" w:eastAsia="Times New Roman" w:hAnsi="Times New Roman" w:cs="Times New Roman"/>
          <w:i/>
          <w:iCs/>
          <w:sz w:val="24"/>
          <w:lang w:eastAsia="pl-PL"/>
        </w:rPr>
      </w:pPr>
      <w:r w:rsidRPr="005D1B52">
        <w:rPr>
          <w:rFonts w:ascii="Times New Roman" w:eastAsia="Times New Roman" w:hAnsi="Times New Roman" w:cs="Times New Roman"/>
          <w:i/>
          <w:iCs/>
          <w:sz w:val="24"/>
          <w:lang w:eastAsia="pl-PL"/>
        </w:rPr>
        <w:t>Przedmiotem zamówienia jest wykonanie robót budowlanych związanych z wykonaniem przebudowy drogi powiatowej zgodnie z przepisami prawa budowlanego.</w:t>
      </w:r>
    </w:p>
    <w:p w:rsidR="005D1B52" w:rsidRPr="005D1B52" w:rsidRDefault="005D1B52" w:rsidP="005D1B52">
      <w:pPr>
        <w:spacing w:before="120" w:after="120" w:line="240" w:lineRule="auto"/>
        <w:rPr>
          <w:rFonts w:ascii="Times New Roman" w:eastAsia="Times New Roman" w:hAnsi="Times New Roman" w:cs="Times New Roman"/>
          <w:b/>
          <w:bCs/>
          <w:i/>
          <w:iCs/>
          <w:sz w:val="24"/>
          <w:szCs w:val="24"/>
          <w:u w:val="single"/>
          <w:lang w:eastAsia="pl-PL"/>
        </w:rPr>
      </w:pPr>
      <w:r w:rsidRPr="005D1B52">
        <w:rPr>
          <w:rFonts w:ascii="Times New Roman" w:eastAsia="Times New Roman" w:hAnsi="Times New Roman" w:cs="Times New Roman"/>
          <w:b/>
          <w:bCs/>
          <w:i/>
          <w:iCs/>
          <w:sz w:val="24"/>
          <w:szCs w:val="24"/>
          <w:u w:val="single"/>
          <w:lang w:eastAsia="pl-PL"/>
        </w:rPr>
        <w:t>1. Zakres przedmiotu zamówienia obejmuje</w:t>
      </w:r>
      <w:r w:rsidRPr="005D1B52">
        <w:rPr>
          <w:rFonts w:ascii="Times New Roman" w:eastAsia="Times New Roman" w:hAnsi="Times New Roman" w:cs="Times New Roman"/>
          <w:b/>
          <w:bCs/>
          <w:i/>
          <w:iCs/>
          <w:sz w:val="24"/>
          <w:szCs w:val="24"/>
          <w:lang w:eastAsia="pl-PL"/>
        </w:rPr>
        <w:t>:</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roboty przygotowawcze,</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odbudowa korpusu,</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poszerzenie jezdni,</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chodniki,</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podbudowy i nawierzchnie,</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odwodnienie,</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xml:space="preserve">- przepusty, </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skrzyżowania, zjazdy i zatoki,</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rowy i przepusty pod zjazdami za chodnikiem,</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pobocza i rowy,</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umocnienia skarp,</w:t>
      </w:r>
    </w:p>
    <w:p w:rsidR="005D1B52" w:rsidRPr="005D1B52" w:rsidRDefault="005D1B52" w:rsidP="005D1B52">
      <w:pPr>
        <w:autoSpaceDE w:val="0"/>
        <w:autoSpaceDN w:val="0"/>
        <w:adjustRightInd w:val="0"/>
        <w:spacing w:after="0" w:line="240" w:lineRule="auto"/>
        <w:ind w:left="1134" w:hanging="426"/>
        <w:rPr>
          <w:rFonts w:ascii="Times New Roman" w:eastAsia="Calibri" w:hAnsi="Times New Roman" w:cs="Times New Roman"/>
          <w:bCs/>
          <w:i/>
          <w:iCs/>
          <w:sz w:val="24"/>
          <w:szCs w:val="24"/>
        </w:rPr>
      </w:pPr>
      <w:r w:rsidRPr="005D1B52">
        <w:rPr>
          <w:rFonts w:ascii="Times New Roman" w:eastAsia="Calibri" w:hAnsi="Times New Roman" w:cs="Times New Roman"/>
          <w:bCs/>
          <w:i/>
          <w:iCs/>
          <w:sz w:val="24"/>
          <w:szCs w:val="24"/>
        </w:rPr>
        <w:t>- urządzenia zabezpieczające,</w:t>
      </w:r>
    </w:p>
    <w:p w:rsidR="005D1B52" w:rsidRPr="005D1B52" w:rsidRDefault="005D1B52" w:rsidP="005D1B52">
      <w:pPr>
        <w:keepNext/>
        <w:spacing w:before="240" w:after="120" w:line="240" w:lineRule="auto"/>
        <w:jc w:val="both"/>
        <w:outlineLvl w:val="0"/>
        <w:rPr>
          <w:rFonts w:ascii="Times New Roman" w:eastAsia="Times New Roman" w:hAnsi="Times New Roman" w:cs="Times New Roman"/>
          <w:b/>
          <w:bCs/>
          <w:i/>
          <w:iCs/>
          <w:kern w:val="32"/>
          <w:sz w:val="24"/>
          <w:szCs w:val="32"/>
          <w:u w:val="single"/>
          <w:lang w:eastAsia="pl-PL"/>
        </w:rPr>
      </w:pPr>
      <w:r w:rsidRPr="005D1B52">
        <w:rPr>
          <w:rFonts w:ascii="Times New Roman" w:eastAsia="Times New Roman" w:hAnsi="Times New Roman" w:cs="Times New Roman"/>
          <w:b/>
          <w:bCs/>
          <w:i/>
          <w:iCs/>
          <w:kern w:val="32"/>
          <w:sz w:val="24"/>
          <w:szCs w:val="32"/>
          <w:u w:val="single"/>
          <w:lang w:eastAsia="pl-PL"/>
        </w:rPr>
        <w:t xml:space="preserve">2. </w:t>
      </w:r>
      <w:r w:rsidR="00B438A0">
        <w:rPr>
          <w:rFonts w:ascii="Times New Roman" w:eastAsia="Times New Roman" w:hAnsi="Times New Roman" w:cs="Times New Roman"/>
          <w:b/>
          <w:bCs/>
          <w:i/>
          <w:iCs/>
          <w:kern w:val="32"/>
          <w:sz w:val="24"/>
          <w:szCs w:val="32"/>
          <w:u w:val="single"/>
          <w:lang w:eastAsia="pl-PL"/>
        </w:rPr>
        <w:t>Szczegółowy zakres zadania</w:t>
      </w:r>
      <w:r w:rsidRPr="005D1B52">
        <w:rPr>
          <w:rFonts w:ascii="Times New Roman" w:eastAsia="Times New Roman" w:hAnsi="Times New Roman" w:cs="Times New Roman"/>
          <w:b/>
          <w:bCs/>
          <w:i/>
          <w:iCs/>
          <w:kern w:val="32"/>
          <w:sz w:val="24"/>
          <w:szCs w:val="32"/>
          <w:u w:val="single"/>
          <w:lang w:eastAsia="pl-PL"/>
        </w:rPr>
        <w:t xml:space="preserve"> obejmuje:   </w:t>
      </w:r>
    </w:p>
    <w:p w:rsidR="005D1B52" w:rsidRPr="00CD3006" w:rsidRDefault="005D1B52" w:rsidP="00CD3006">
      <w:pPr>
        <w:pStyle w:val="Akapitzlist"/>
        <w:numPr>
          <w:ilvl w:val="0"/>
          <w:numId w:val="46"/>
        </w:numPr>
        <w:jc w:val="both"/>
        <w:rPr>
          <w:bCs/>
          <w:i/>
          <w:iCs/>
          <w:lang w:eastAsia="pl-PL"/>
        </w:rPr>
      </w:pPr>
      <w:r w:rsidRPr="00CD3006">
        <w:rPr>
          <w:bCs/>
          <w:i/>
          <w:iCs/>
          <w:lang w:eastAsia="pl-PL"/>
        </w:rPr>
        <w:t>wykonanie i oddanie  przedmiotu  przetargu, zrealizowanego zgodnie  z  kosztorysem, dokumentacją, zasadami wiedzy technicznej i sztuki budowlanej,</w:t>
      </w:r>
    </w:p>
    <w:p w:rsidR="005D1B52" w:rsidRPr="005D1B52" w:rsidRDefault="00CD3006" w:rsidP="00CD3006">
      <w:pPr>
        <w:spacing w:after="0" w:line="240" w:lineRule="auto"/>
        <w:ind w:left="720"/>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b)</w:t>
      </w:r>
      <w:r w:rsidR="005D1B52" w:rsidRPr="005D1B52">
        <w:rPr>
          <w:rFonts w:ascii="Times New Roman" w:eastAsia="Times New Roman" w:hAnsi="Times New Roman" w:cs="Times New Roman"/>
          <w:bCs/>
          <w:i/>
          <w:iCs/>
          <w:sz w:val="24"/>
          <w:lang w:eastAsia="pl-PL"/>
        </w:rPr>
        <w:t>inne elementy ujęte w cenie ofertowej składające się na przedmiot zamówienia:</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a.</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obsług</w:t>
      </w:r>
      <w:r w:rsidR="00220DDC">
        <w:rPr>
          <w:rFonts w:ascii="Times New Roman" w:eastAsia="Times New Roman" w:hAnsi="Times New Roman" w:cs="Times New Roman"/>
          <w:bCs/>
          <w:i/>
          <w:iCs/>
          <w:sz w:val="24"/>
          <w:lang w:eastAsia="pl-PL"/>
        </w:rPr>
        <w:t>ę</w:t>
      </w:r>
      <w:r w:rsidR="005D1B52" w:rsidRPr="005D1B52">
        <w:rPr>
          <w:rFonts w:ascii="Times New Roman" w:eastAsia="Times New Roman" w:hAnsi="Times New Roman" w:cs="Times New Roman"/>
          <w:bCs/>
          <w:i/>
          <w:iCs/>
          <w:sz w:val="24"/>
          <w:lang w:eastAsia="pl-PL"/>
        </w:rPr>
        <w:t xml:space="preserve"> geodezyjną robót i wykonanie inwentaryzacji powykonawczej,</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lastRenderedPageBreak/>
        <w:t>b.</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przed przystąpieniem do realizacji zadania wykonawca winien wytyczyć roboty zgodnie z dokumentacją – czynności te należy zgłosić do odbioru przed przystąpieniem do robót budowlanych.</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c.</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 xml:space="preserve">wykonanie niezbędnych prób, badań, pomiarów, zabezpieczeń, włączeń i odbiorów technicznych wraz z opłatami, </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d.</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e.</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 xml:space="preserve">ubezpieczenie placu budowy, </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f.</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uporządkowanie placu budowy,</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g.</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h.</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opracowanie projektu organizacji ruchu na czas budowy – Wykonawca winien opracować i przedłożyć uzgodniony i zatwierdzony  projekt organizacji ruchu na czas prowadzenia robót.</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i.</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utrzymanie przejezdności drogi i  dojazdów do posesji w trakcie okresu realizacji,</w:t>
      </w:r>
    </w:p>
    <w:p w:rsidR="005D1B52" w:rsidRPr="005D1B52" w:rsidRDefault="00CD3006" w:rsidP="00CD3006">
      <w:pPr>
        <w:spacing w:after="0" w:line="240" w:lineRule="auto"/>
        <w:ind w:left="851"/>
        <w:jc w:val="both"/>
        <w:rPr>
          <w:rFonts w:ascii="Times New Roman" w:eastAsia="Times New Roman" w:hAnsi="Times New Roman" w:cs="Times New Roman"/>
          <w:bCs/>
          <w:i/>
          <w:iCs/>
          <w:sz w:val="24"/>
          <w:lang w:eastAsia="pl-PL"/>
        </w:rPr>
      </w:pPr>
      <w:r>
        <w:rPr>
          <w:rFonts w:ascii="Times New Roman" w:eastAsia="Times New Roman" w:hAnsi="Times New Roman" w:cs="Times New Roman"/>
          <w:bCs/>
          <w:i/>
          <w:iCs/>
          <w:sz w:val="24"/>
          <w:lang w:eastAsia="pl-PL"/>
        </w:rPr>
        <w:t>j.</w:t>
      </w:r>
      <w:r w:rsidR="00220DDC">
        <w:rPr>
          <w:rFonts w:ascii="Times New Roman" w:eastAsia="Times New Roman" w:hAnsi="Times New Roman" w:cs="Times New Roman"/>
          <w:bCs/>
          <w:i/>
          <w:iCs/>
          <w:sz w:val="24"/>
          <w:lang w:eastAsia="pl-PL"/>
        </w:rPr>
        <w:t xml:space="preserve"> </w:t>
      </w:r>
      <w:r w:rsidR="005D1B52" w:rsidRPr="005D1B52">
        <w:rPr>
          <w:rFonts w:ascii="Times New Roman" w:eastAsia="Times New Roman" w:hAnsi="Times New Roman" w:cs="Times New Roman"/>
          <w:bCs/>
          <w:i/>
          <w:iCs/>
          <w:sz w:val="24"/>
          <w:lang w:eastAsia="pl-PL"/>
        </w:rPr>
        <w:t>opracowanie instrukcji BIOZ.</w:t>
      </w:r>
    </w:p>
    <w:p w:rsidR="005D1B52" w:rsidRPr="005D1B52" w:rsidRDefault="005D1B52"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B438A0" w:rsidP="005D1B52">
      <w:pPr>
        <w:suppressAutoHyphens/>
        <w:spacing w:after="0"/>
        <w:ind w:left="284"/>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Wszystkie w/w elementy zamówienia zostaną ujęte w cenie ofertowej.</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b/>
          <w:i/>
          <w:sz w:val="24"/>
          <w:szCs w:val="24"/>
          <w:lang w:eastAsia="ar-SA"/>
        </w:rPr>
        <w:t>Uwaga 1:</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5D1B52">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5D1B52">
        <w:rPr>
          <w:rFonts w:ascii="Times New Roman" w:eastAsia="Times New Roman" w:hAnsi="Times New Roman" w:cs="Times New Roman"/>
          <w:b/>
          <w:i/>
          <w:sz w:val="24"/>
          <w:szCs w:val="24"/>
          <w:lang w:eastAsia="ar-SA"/>
        </w:rPr>
        <w:t>Wykonawca</w:t>
      </w:r>
      <w:r w:rsidRPr="005D1B52">
        <w:rPr>
          <w:rFonts w:ascii="Times New Roman" w:eastAsia="Times New Roman" w:hAnsi="Times New Roman" w:cs="Times New Roman"/>
          <w:i/>
          <w:sz w:val="24"/>
          <w:szCs w:val="24"/>
          <w:lang w:eastAsia="ar-SA"/>
        </w:rPr>
        <w:t xml:space="preserve">.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Uwaga 2:</w:t>
      </w: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5D1B52">
        <w:rPr>
          <w:rFonts w:ascii="Times New Roman" w:eastAsia="Times New Roman" w:hAnsi="Times New Roman" w:cs="Times New Roman"/>
          <w:b/>
          <w:i/>
          <w:color w:val="FF0000"/>
          <w:sz w:val="24"/>
          <w:szCs w:val="24"/>
          <w:lang w:eastAsia="ar-SA"/>
        </w:rPr>
        <w:br/>
        <w:t>i w konsekwencji utraty w całości lub części dofinansowania ze środków w ramach Funduszu Dróg Samorządowych.</w:t>
      </w:r>
    </w:p>
    <w:p w:rsidR="005D1B52" w:rsidRPr="005D1B52"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Wykonawcę oraz inspektora nadzoru inwestorskiego. W przypadku </w:t>
      </w:r>
      <w:r w:rsidRPr="003E2240">
        <w:rPr>
          <w:rFonts w:ascii="Times New Roman" w:eastAsia="Times New Roman" w:hAnsi="Times New Roman" w:cs="Times New Roman"/>
          <w:i/>
          <w:color w:val="000000"/>
          <w:sz w:val="24"/>
          <w:szCs w:val="24"/>
          <w:lang w:eastAsia="ar-SA"/>
        </w:rPr>
        <w:lastRenderedPageBreak/>
        <w:t>niekorzystnych warunków atmosferycznych uniemożliwiających rozpoczęcie robót, termin ich rozpoczęcia zostanie ponownie ustalony przez obie strony umowy.</w:t>
      </w:r>
    </w:p>
    <w:p w:rsidR="00F51FBF" w:rsidRPr="002F37F1" w:rsidRDefault="00EC0F02" w:rsidP="005D41CF">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B438A0" w:rsidRPr="002F37F1">
        <w:rPr>
          <w:rFonts w:ascii="Times New Roman" w:eastAsia="Times New Roman" w:hAnsi="Times New Roman" w:cs="Times New Roman"/>
          <w:b/>
          <w:i/>
          <w:sz w:val="24"/>
          <w:szCs w:val="24"/>
          <w:lang w:eastAsia="ar-SA"/>
        </w:rPr>
        <w:t>30</w:t>
      </w:r>
      <w:r w:rsidR="00F51FBF" w:rsidRPr="002F37F1">
        <w:rPr>
          <w:rFonts w:ascii="Times New Roman" w:eastAsia="Times New Roman" w:hAnsi="Times New Roman" w:cs="Times New Roman"/>
          <w:b/>
          <w:i/>
          <w:sz w:val="24"/>
          <w:szCs w:val="24"/>
          <w:lang w:eastAsia="ar-SA"/>
        </w:rPr>
        <w:t xml:space="preserve"> października 201</w:t>
      </w:r>
      <w:r w:rsidR="00AE5176" w:rsidRPr="002F37F1">
        <w:rPr>
          <w:rFonts w:ascii="Times New Roman" w:eastAsia="Times New Roman" w:hAnsi="Times New Roman" w:cs="Times New Roman"/>
          <w:b/>
          <w:i/>
          <w:sz w:val="24"/>
          <w:szCs w:val="24"/>
          <w:lang w:eastAsia="ar-SA"/>
        </w:rPr>
        <w:t>9</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lastRenderedPageBreak/>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2.Rozliczenie wykonanych robót odbywać się będzie na podstawie prowadzonej książki obmiarów robót wykonanych - potwierdzonych przez inspektora nadzoru i cen </w:t>
      </w:r>
      <w:r w:rsidRPr="006F3364">
        <w:rPr>
          <w:rFonts w:ascii="Times New Roman" w:eastAsia="Times New Roman" w:hAnsi="Times New Roman" w:cs="Times New Roman"/>
          <w:bCs/>
          <w:i/>
          <w:iCs/>
          <w:sz w:val="24"/>
          <w:szCs w:val="24"/>
          <w:lang w:eastAsia="pl-PL"/>
        </w:rPr>
        <w:lastRenderedPageBreak/>
        <w:t>jednostkowych zawartych w kosztorysie (zał. nr 1 do niniejszej umowy) w wyniku 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6F3364">
        <w:rPr>
          <w:rFonts w:ascii="Times New Roman" w:eastAsia="Times New Roman" w:hAnsi="Times New Roman" w:cs="Times New Roman"/>
          <w:i/>
          <w:color w:val="000000"/>
          <w:sz w:val="24"/>
          <w:szCs w:val="24"/>
          <w:lang w:eastAsia="ar-SA"/>
        </w:rPr>
        <w:t>ident</w:t>
      </w:r>
      <w:proofErr w:type="spellEnd"/>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7A6652">
      <w:pPr>
        <w:numPr>
          <w:ilvl w:val="1"/>
          <w:numId w:val="13"/>
        </w:numPr>
        <w:tabs>
          <w:tab w:val="num" w:pos="851"/>
          <w:tab w:val="num" w:pos="1134"/>
        </w:tabs>
        <w:suppressAutoHyphens/>
        <w:spacing w:after="0" w:line="240" w:lineRule="auto"/>
        <w:ind w:left="851" w:hanging="284"/>
        <w:jc w:val="center"/>
        <w:rPr>
          <w:rFonts w:ascii="Times New Roman" w:eastAsia="Times New Roman" w:hAnsi="Times New Roman" w:cs="Times New Roman"/>
          <w:bCs/>
          <w:i/>
          <w:sz w:val="24"/>
          <w:szCs w:val="24"/>
          <w:lang w:eastAsia="ar-SA"/>
        </w:rPr>
      </w:pPr>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w:t>
      </w:r>
      <w:r w:rsidRPr="006F3364">
        <w:rPr>
          <w:rFonts w:ascii="Times New Roman" w:eastAsia="Times New Roman" w:hAnsi="Times New Roman" w:cs="Times New Roman"/>
          <w:bCs/>
          <w:i/>
          <w:sz w:val="24"/>
          <w:szCs w:val="24"/>
          <w:lang w:eastAsia="ar-SA"/>
        </w:rPr>
        <w:lastRenderedPageBreak/>
        <w:t xml:space="preserve">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zamówienia tj.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-roboty ziemne</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lastRenderedPageBreak/>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w:t>
      </w:r>
      <w:r w:rsidRPr="006F3364">
        <w:rPr>
          <w:rFonts w:ascii="Times New Roman" w:eastAsia="Times New Roman" w:hAnsi="Times New Roman" w:cs="Times New Roman"/>
          <w:bCs/>
          <w:i/>
          <w:iCs/>
          <w:color w:val="000000"/>
          <w:sz w:val="24"/>
          <w:szCs w:val="24"/>
          <w:lang w:eastAsia="ar-SA"/>
        </w:rPr>
        <w:lastRenderedPageBreak/>
        <w:t xml:space="preserve">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gwarancji</w:t>
      </w:r>
      <w:r w:rsidRPr="006F3364">
        <w:rPr>
          <w:rFonts w:ascii="Times New Roman" w:eastAsia="Times New Roman" w:hAnsi="Times New Roman" w:cs="Times New Roman"/>
          <w:i/>
          <w:sz w:val="24"/>
          <w:szCs w:val="24"/>
          <w:lang w:eastAsia="ar-SA"/>
        </w:rPr>
        <w:t xml:space="preserve"> ustala się na </w:t>
      </w:r>
      <w:r w:rsidRPr="00A945D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Termin usunięcia wad będzie ustalony każdorazowo wspólnie z </w:t>
      </w:r>
      <w:r w:rsidRPr="006F3364">
        <w:rPr>
          <w:rFonts w:ascii="Times New Roman" w:eastAsia="Times New Roman" w:hAnsi="Times New Roman" w:cs="Times New Roman"/>
          <w:b/>
          <w:i/>
          <w:sz w:val="24"/>
          <w:szCs w:val="24"/>
          <w:lang w:eastAsia="ar-SA"/>
        </w:rPr>
        <w:t xml:space="preserve">Wykonawcą, </w:t>
      </w:r>
      <w:r w:rsidRPr="006F3364">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A945D4"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t xml:space="preserve">a) za </w:t>
      </w:r>
      <w:r>
        <w:rPr>
          <w:rFonts w:ascii="Times New Roman" w:eastAsia="Times New Roman" w:hAnsi="Times New Roman" w:cs="Times New Roman"/>
          <w:i/>
          <w:color w:val="000000"/>
          <w:sz w:val="24"/>
          <w:szCs w:val="24"/>
          <w:lang w:eastAsia="ar-SA"/>
        </w:rPr>
        <w:t>zwłokę w nieterminowym</w:t>
      </w:r>
      <w:r w:rsidRPr="006F3364">
        <w:rPr>
          <w:rFonts w:ascii="Times New Roman" w:eastAsia="Times New Roman" w:hAnsi="Times New Roman" w:cs="Times New Roman"/>
          <w:i/>
          <w:color w:val="000000"/>
          <w:sz w:val="24"/>
          <w:szCs w:val="24"/>
          <w:lang w:eastAsia="ar-SA"/>
        </w:rPr>
        <w:t xml:space="preserve"> wykonani</w:t>
      </w:r>
      <w:r>
        <w:rPr>
          <w:rFonts w:ascii="Times New Roman" w:eastAsia="Times New Roman" w:hAnsi="Times New Roman" w:cs="Times New Roman"/>
          <w:i/>
          <w:color w:val="000000"/>
          <w:sz w:val="24"/>
          <w:szCs w:val="24"/>
          <w:lang w:eastAsia="ar-SA"/>
        </w:rPr>
        <w:t>u</w:t>
      </w:r>
      <w:r w:rsidRPr="006F3364">
        <w:rPr>
          <w:rFonts w:ascii="Times New Roman" w:eastAsia="Times New Roman" w:hAnsi="Times New Roman" w:cs="Times New Roman"/>
          <w:i/>
          <w:color w:val="000000"/>
          <w:sz w:val="24"/>
          <w:szCs w:val="24"/>
          <w:lang w:eastAsia="ar-SA"/>
        </w:rPr>
        <w:t xml:space="preserve"> określonego w niniejszej umowie przedmiotu zamówienia w wysokości </w:t>
      </w:r>
      <w:r w:rsidRPr="00A945D4">
        <w:rPr>
          <w:rFonts w:ascii="Times New Roman" w:eastAsia="Times New Roman" w:hAnsi="Times New Roman" w:cs="Times New Roman"/>
          <w:i/>
          <w:sz w:val="24"/>
          <w:szCs w:val="24"/>
          <w:lang w:eastAsia="ar-SA"/>
        </w:rPr>
        <w:t xml:space="preserve">0,1% wynagrodzenia umownego brutto za każdy dzień opóźnienia.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A945D4">
        <w:rPr>
          <w:rFonts w:ascii="Times New Roman" w:eastAsia="Times New Roman" w:hAnsi="Times New Roman" w:cs="Times New Roman"/>
          <w:i/>
          <w:sz w:val="24"/>
          <w:szCs w:val="24"/>
          <w:lang w:eastAsia="ar-SA"/>
        </w:rPr>
        <w:tab/>
        <w:t xml:space="preserve">b) za </w:t>
      </w:r>
      <w:r>
        <w:rPr>
          <w:rFonts w:ascii="Times New Roman" w:eastAsia="Times New Roman" w:hAnsi="Times New Roman" w:cs="Times New Roman"/>
          <w:i/>
          <w:sz w:val="24"/>
          <w:szCs w:val="24"/>
          <w:lang w:eastAsia="ar-SA"/>
        </w:rPr>
        <w:t xml:space="preserve">zwłokę w </w:t>
      </w:r>
      <w:r w:rsidRPr="00A945D4">
        <w:rPr>
          <w:rFonts w:ascii="Times New Roman" w:eastAsia="Times New Roman" w:hAnsi="Times New Roman" w:cs="Times New Roman"/>
          <w:i/>
          <w:sz w:val="24"/>
          <w:szCs w:val="24"/>
          <w:lang w:eastAsia="ar-SA"/>
        </w:rPr>
        <w:t>nieterminow</w:t>
      </w:r>
      <w:r>
        <w:rPr>
          <w:rFonts w:ascii="Times New Roman" w:eastAsia="Times New Roman" w:hAnsi="Times New Roman" w:cs="Times New Roman"/>
          <w:i/>
          <w:sz w:val="24"/>
          <w:szCs w:val="24"/>
          <w:lang w:eastAsia="ar-SA"/>
        </w:rPr>
        <w:t>ym</w:t>
      </w:r>
      <w:r w:rsidRPr="00A945D4">
        <w:rPr>
          <w:rFonts w:ascii="Times New Roman" w:eastAsia="Times New Roman" w:hAnsi="Times New Roman" w:cs="Times New Roman"/>
          <w:i/>
          <w:sz w:val="24"/>
          <w:szCs w:val="24"/>
          <w:lang w:eastAsia="ar-SA"/>
        </w:rPr>
        <w:t xml:space="preserve"> usunięci</w:t>
      </w:r>
      <w:r>
        <w:rPr>
          <w:rFonts w:ascii="Times New Roman" w:eastAsia="Times New Roman" w:hAnsi="Times New Roman" w:cs="Times New Roman"/>
          <w:i/>
          <w:sz w:val="24"/>
          <w:szCs w:val="24"/>
          <w:lang w:eastAsia="ar-SA"/>
        </w:rPr>
        <w:t>u</w:t>
      </w:r>
      <w:r w:rsidRPr="00A945D4">
        <w:rPr>
          <w:rFonts w:ascii="Times New Roman" w:eastAsia="Times New Roman" w:hAnsi="Times New Roman" w:cs="Times New Roman"/>
          <w:i/>
          <w:sz w:val="24"/>
          <w:szCs w:val="24"/>
          <w:lang w:eastAsia="ar-SA"/>
        </w:rPr>
        <w:t xml:space="preserve"> stwierdzonych w czasie odbioru, gwarancji i rękojmi, wad w wysokości 0,1% wynagrodzenia </w:t>
      </w:r>
      <w:r w:rsidRPr="006F3364">
        <w:rPr>
          <w:rFonts w:ascii="Times New Roman" w:eastAsia="Times New Roman" w:hAnsi="Times New Roman" w:cs="Times New Roman"/>
          <w:i/>
          <w:color w:val="000000"/>
          <w:sz w:val="24"/>
          <w:szCs w:val="24"/>
          <w:lang w:eastAsia="ar-SA"/>
        </w:rPr>
        <w:t>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c) za odstąpienie od umowy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zwłokę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Oprócz przypadków przewidzianych w ust. 2</w:t>
      </w:r>
      <w:r>
        <w:rPr>
          <w:rFonts w:ascii="Times New Roman" w:eastAsia="Times New Roman" w:hAnsi="Times New Roman" w:cs="Times New Roman"/>
          <w:i/>
          <w:sz w:val="24"/>
          <w:szCs w:val="24"/>
          <w:lang w:eastAsia="ar-SA"/>
        </w:rPr>
        <w:t xml:space="preserve"> i 6</w:t>
      </w:r>
      <w:r w:rsidRPr="006F3364">
        <w:rPr>
          <w:rFonts w:ascii="Times New Roman" w:eastAsia="Times New Roman" w:hAnsi="Times New Roman" w:cs="Times New Roman"/>
          <w:b/>
          <w:i/>
          <w:sz w:val="24"/>
          <w:szCs w:val="24"/>
          <w:lang w:eastAsia="ar-SA"/>
        </w:rPr>
        <w:t xml:space="preserve"> Wykonawca</w:t>
      </w:r>
      <w:r w:rsidRPr="006F3364">
        <w:rPr>
          <w:rFonts w:ascii="Times New Roman" w:eastAsia="Times New Roman" w:hAnsi="Times New Roman" w:cs="Times New Roman"/>
          <w:i/>
          <w:sz w:val="24"/>
          <w:szCs w:val="24"/>
          <w:lang w:eastAsia="ar-SA"/>
        </w:rPr>
        <w:t xml:space="preserve"> zapłaci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7A6652" w:rsidP="007A665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7A6652" w:rsidP="007A665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w:t>
      </w:r>
      <w:r w:rsidRPr="006F3364">
        <w:rPr>
          <w:rFonts w:ascii="Times New Roman" w:eastAsia="Times New Roman" w:hAnsi="Times New Roman" w:cs="Times New Roman"/>
          <w:i/>
          <w:sz w:val="24"/>
          <w:szCs w:val="24"/>
          <w:lang w:eastAsia="ar-SA"/>
        </w:rPr>
        <w:lastRenderedPageBreak/>
        <w:t>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Jeżeli udzielenie zamówienia na wykonanie robót podobnych nastąpi w trakcie realizacji zamówienia podstawowego, Wykonawca  zobowiązuje się wykonać te roboty </w:t>
      </w:r>
      <w:r w:rsidRPr="006F3364">
        <w:rPr>
          <w:rFonts w:ascii="Times New Roman" w:eastAsia="Times New Roman" w:hAnsi="Times New Roman" w:cs="Times New Roman"/>
          <w:i/>
          <w:sz w:val="24"/>
          <w:szCs w:val="24"/>
          <w:lang w:eastAsia="ar-SA"/>
        </w:rPr>
        <w:lastRenderedPageBreak/>
        <w:t>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lastRenderedPageBreak/>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27</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r w:rsidRPr="006F3364">
        <w:rPr>
          <w:rFonts w:ascii="Times New Roman" w:eastAsia="Times New Roman" w:hAnsi="Times New Roman" w:cs="Times New Roman"/>
          <w:b/>
          <w:i/>
          <w:sz w:val="24"/>
          <w:szCs w:val="24"/>
          <w:lang w:eastAsia="ar-SA"/>
        </w:rPr>
        <w:t>………………………………….                                     …………………………………</w:t>
      </w:r>
    </w:p>
    <w:p w:rsidR="007A6652" w:rsidRPr="003E2240"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sectPr w:rsidR="007A6652" w:rsidRPr="003E224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9B" w:rsidRDefault="0029579B" w:rsidP="00A16788">
      <w:pPr>
        <w:spacing w:after="0" w:line="240" w:lineRule="auto"/>
      </w:pPr>
      <w:r>
        <w:separator/>
      </w:r>
    </w:p>
  </w:endnote>
  <w:endnote w:type="continuationSeparator" w:id="0">
    <w:p w:rsidR="0029579B" w:rsidRDefault="0029579B"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9B" w:rsidRDefault="0029579B" w:rsidP="00A16788">
      <w:pPr>
        <w:spacing w:after="0" w:line="240" w:lineRule="auto"/>
      </w:pPr>
      <w:r>
        <w:separator/>
      </w:r>
    </w:p>
  </w:footnote>
  <w:footnote w:type="continuationSeparator" w:id="0">
    <w:p w:rsidR="0029579B" w:rsidRDefault="0029579B" w:rsidP="00A16788">
      <w:pPr>
        <w:spacing w:after="0" w:line="240" w:lineRule="auto"/>
      </w:pPr>
      <w:r>
        <w:continuationSeparator/>
      </w:r>
    </w:p>
  </w:footnote>
  <w:footnote w:id="1">
    <w:p w:rsidR="00CD3006" w:rsidRPr="00611EAE" w:rsidRDefault="00CD3006"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CD3006" w:rsidRDefault="00CD3006"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CD3006" w:rsidRDefault="00CD3006"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CD3006" w:rsidRDefault="00CD300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CD3006" w:rsidRPr="00196AA5" w:rsidRDefault="00CD3006"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D3006" w:rsidRPr="00196AA5" w:rsidRDefault="00CD3006" w:rsidP="00EC0F02">
      <w:pPr>
        <w:spacing w:after="0" w:line="240" w:lineRule="auto"/>
        <w:jc w:val="both"/>
        <w:rPr>
          <w:rFonts w:ascii="Calibri" w:eastAsia="Calibri" w:hAnsi="Calibri" w:cs="Times New Roman"/>
          <w:sz w:val="16"/>
          <w:szCs w:val="16"/>
        </w:rPr>
      </w:pPr>
    </w:p>
    <w:p w:rsidR="00CD3006" w:rsidRPr="00196AA5" w:rsidRDefault="00CD3006"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3006" w:rsidRDefault="00CD3006" w:rsidP="00EC0F02">
      <w:pPr>
        <w:pStyle w:val="Tekstprzypisudolnego"/>
        <w:rPr>
          <w:rFonts w:ascii="Calibri" w:hAnsi="Calibri" w:cs="Calibri"/>
          <w:sz w:val="18"/>
        </w:rPr>
      </w:pPr>
    </w:p>
    <w:p w:rsidR="00CD3006" w:rsidRDefault="00CD300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06" w:rsidRDefault="00CD3006">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06" w:rsidRPr="00082F64" w:rsidRDefault="00CD3006">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CD3006" w:rsidRPr="00082F64" w:rsidRDefault="00CD3006">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006" w:rsidRPr="00EC0F02" w:rsidRDefault="00CD300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A0D47">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37</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CD3006" w:rsidRPr="00EC0F02" w:rsidRDefault="00CD300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A0D47">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37</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06" w:rsidRDefault="00CD3006">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06" w:rsidRPr="00082F64" w:rsidRDefault="00CD3006"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A6652" w:rsidRPr="00082F64" w:rsidRDefault="007A6652"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006" w:rsidRPr="00EC0F02" w:rsidRDefault="00CD300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A6652" w:rsidRPr="00EC0F02" w:rsidRDefault="007A6652">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2031E4"/>
    <w:rsid w:val="00205268"/>
    <w:rsid w:val="00216AE4"/>
    <w:rsid w:val="00220DDC"/>
    <w:rsid w:val="00222440"/>
    <w:rsid w:val="002239F2"/>
    <w:rsid w:val="00223F29"/>
    <w:rsid w:val="002304BE"/>
    <w:rsid w:val="00231D28"/>
    <w:rsid w:val="00240565"/>
    <w:rsid w:val="00247BAE"/>
    <w:rsid w:val="00252E3D"/>
    <w:rsid w:val="0025309C"/>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650E"/>
    <w:rsid w:val="002C71ED"/>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25C13"/>
    <w:rsid w:val="00627209"/>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E07F1"/>
    <w:rsid w:val="006E1BAB"/>
    <w:rsid w:val="006E3FD2"/>
    <w:rsid w:val="006E5C1E"/>
    <w:rsid w:val="006F5D7E"/>
    <w:rsid w:val="006F5F1A"/>
    <w:rsid w:val="006F65DE"/>
    <w:rsid w:val="00706C50"/>
    <w:rsid w:val="00712C36"/>
    <w:rsid w:val="00714A48"/>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7E54"/>
    <w:rsid w:val="007E129D"/>
    <w:rsid w:val="007E3421"/>
    <w:rsid w:val="007E61DB"/>
    <w:rsid w:val="007F0FB5"/>
    <w:rsid w:val="007F12DC"/>
    <w:rsid w:val="007F3186"/>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10B5"/>
    <w:rsid w:val="008E67A5"/>
    <w:rsid w:val="008F01F4"/>
    <w:rsid w:val="008F265F"/>
    <w:rsid w:val="008F3453"/>
    <w:rsid w:val="008F7234"/>
    <w:rsid w:val="00903A29"/>
    <w:rsid w:val="00905163"/>
    <w:rsid w:val="00905563"/>
    <w:rsid w:val="00935178"/>
    <w:rsid w:val="00950B83"/>
    <w:rsid w:val="00954927"/>
    <w:rsid w:val="009552B8"/>
    <w:rsid w:val="00960C90"/>
    <w:rsid w:val="009621E2"/>
    <w:rsid w:val="009627E7"/>
    <w:rsid w:val="00963929"/>
    <w:rsid w:val="00970B99"/>
    <w:rsid w:val="009737F4"/>
    <w:rsid w:val="009903CC"/>
    <w:rsid w:val="00990EF2"/>
    <w:rsid w:val="009944E6"/>
    <w:rsid w:val="009A4017"/>
    <w:rsid w:val="009A517F"/>
    <w:rsid w:val="009B372C"/>
    <w:rsid w:val="009B5CD1"/>
    <w:rsid w:val="009C01D7"/>
    <w:rsid w:val="009C7369"/>
    <w:rsid w:val="009E329D"/>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53A3"/>
    <w:rsid w:val="00B263D9"/>
    <w:rsid w:val="00B33D98"/>
    <w:rsid w:val="00B345B2"/>
    <w:rsid w:val="00B3616C"/>
    <w:rsid w:val="00B438A0"/>
    <w:rsid w:val="00B475CB"/>
    <w:rsid w:val="00B62A0F"/>
    <w:rsid w:val="00B64114"/>
    <w:rsid w:val="00B6755E"/>
    <w:rsid w:val="00B76905"/>
    <w:rsid w:val="00B77CF4"/>
    <w:rsid w:val="00B92166"/>
    <w:rsid w:val="00BA66F0"/>
    <w:rsid w:val="00BC2683"/>
    <w:rsid w:val="00BC4CE1"/>
    <w:rsid w:val="00BD1388"/>
    <w:rsid w:val="00BD1CAD"/>
    <w:rsid w:val="00BD693F"/>
    <w:rsid w:val="00BD780F"/>
    <w:rsid w:val="00BE14B1"/>
    <w:rsid w:val="00BE2FEB"/>
    <w:rsid w:val="00BE7996"/>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C41FA"/>
    <w:rsid w:val="00CD2EB5"/>
    <w:rsid w:val="00CD3006"/>
    <w:rsid w:val="00CD6103"/>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2659C"/>
    <w:rsid w:val="00E30564"/>
    <w:rsid w:val="00E32779"/>
    <w:rsid w:val="00E42CE4"/>
    <w:rsid w:val="00E47E0F"/>
    <w:rsid w:val="00E51569"/>
    <w:rsid w:val="00E75B0B"/>
    <w:rsid w:val="00EA0D0B"/>
    <w:rsid w:val="00EA2393"/>
    <w:rsid w:val="00EA4241"/>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3455</TotalTime>
  <Pages>56</Pages>
  <Words>18109</Words>
  <Characters>108654</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226</cp:revision>
  <cp:lastPrinted>2018-04-20T06:17:00Z</cp:lastPrinted>
  <dcterms:created xsi:type="dcterms:W3CDTF">2017-02-01T11:29:00Z</dcterms:created>
  <dcterms:modified xsi:type="dcterms:W3CDTF">2019-07-23T08:08:00Z</dcterms:modified>
</cp:coreProperties>
</file>